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304BE" w14:textId="56F885F3" w:rsidR="00307B53" w:rsidRPr="00D202BE" w:rsidRDefault="006E095A" w:rsidP="00CC2B15">
      <w:pPr>
        <w:tabs>
          <w:tab w:val="left" w:pos="922"/>
          <w:tab w:val="center" w:pos="4702"/>
        </w:tabs>
        <w:autoSpaceDE w:val="0"/>
        <w:autoSpaceDN w:val="0"/>
        <w:adjustRightInd w:val="0"/>
        <w:spacing w:after="0" w:line="360" w:lineRule="auto"/>
        <w:rPr>
          <w:rFonts w:asciiTheme="majorHAnsi" w:hAnsiTheme="majorHAnsi" w:cs="Times New Roman"/>
          <w:b/>
        </w:rPr>
      </w:pPr>
      <w:r>
        <w:rPr>
          <w:noProof/>
          <w:lang w:val="es-CO" w:eastAsia="es-CO"/>
        </w:rPr>
        <mc:AlternateContent>
          <mc:Choice Requires="wps">
            <w:drawing>
              <wp:anchor distT="0" distB="0" distL="114300" distR="114300" simplePos="0" relativeHeight="251657728" behindDoc="0" locked="0" layoutInCell="1" allowOverlap="1" wp14:anchorId="7DC862D3" wp14:editId="19CF5288">
                <wp:simplePos x="0" y="0"/>
                <wp:positionH relativeFrom="margin">
                  <wp:posOffset>4362450</wp:posOffset>
                </wp:positionH>
                <wp:positionV relativeFrom="paragraph">
                  <wp:posOffset>-594995</wp:posOffset>
                </wp:positionV>
                <wp:extent cx="2347595"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CC36" w14:textId="0088F5EA" w:rsidR="00B81636" w:rsidRPr="005853AF" w:rsidRDefault="00B81636"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62D3" id="Rectangle 2" o:spid="_x0000_s1026" style="position:absolute;margin-left:343.5pt;margin-top:-46.85pt;width:184.85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2ggIAAAY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" stroked="f">
                <v:textbox>
                  <w:txbxContent>
                    <w:p w14:paraId="00E4CC36" w14:textId="0088F5EA" w:rsidR="00B81636" w:rsidRPr="005853AF" w:rsidRDefault="00B81636"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159</w:t>
                      </w:r>
                    </w:p>
                  </w:txbxContent>
                </v:textbox>
                <w10:wrap anchorx="margin"/>
              </v:rect>
            </w:pict>
          </mc:Fallback>
        </mc:AlternateContent>
      </w:r>
      <w:r w:rsidR="00893E1E">
        <w:rPr>
          <w:noProof/>
          <w:lang w:val="es-CO" w:eastAsia="es-CO"/>
        </w:rPr>
        <w:pict w14:anchorId="3753C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9pt;margin-top:-37.55pt;width:55.85pt;height:56.35pt;z-index:-251656704;mso-position-horizontal-relative:text;mso-position-vertical-relative:text">
            <v:imagedata r:id="rId8" o:title=""/>
          </v:shape>
        </w:pict>
      </w:r>
      <w:r w:rsidR="00382680" w:rsidRPr="00D202BE">
        <w:rPr>
          <w:noProof/>
          <w:lang w:val="es-CO" w:eastAsia="es-CO"/>
        </w:rPr>
        <mc:AlternateContent>
          <mc:Choice Requires="wps">
            <w:drawing>
              <wp:anchor distT="0" distB="0" distL="114300" distR="114300" simplePos="0" relativeHeight="251655680" behindDoc="0" locked="0" layoutInCell="1" allowOverlap="1" wp14:anchorId="235F90C2" wp14:editId="54EAF200">
                <wp:simplePos x="0" y="0"/>
                <wp:positionH relativeFrom="column">
                  <wp:posOffset>701675</wp:posOffset>
                </wp:positionH>
                <wp:positionV relativeFrom="paragraph">
                  <wp:posOffset>-218440</wp:posOffset>
                </wp:positionV>
                <wp:extent cx="2530475" cy="394335"/>
                <wp:effectExtent l="0" t="0" r="952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394335"/>
                        </a:xfrm>
                        <a:prstGeom prst="rect">
                          <a:avLst/>
                        </a:prstGeom>
                        <a:solidFill>
                          <a:srgbClr val="FFFFFF"/>
                        </a:solidFill>
                        <a:ln>
                          <a:noFill/>
                        </a:ln>
                        <a:extLs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w="9525">
                              <a:solidFill>
                                <a:srgbClr val="000000"/>
                              </a:solidFill>
                              <a:miter lim="800000"/>
                              <a:headEnd/>
                              <a:tailEnd/>
                            </a14:hiddenLine>
                          </a:ext>
                        </a:extLst>
                      </wps:spPr>
                      <wps:txbx>
                        <w:txbxContent>
                          <w:p w14:paraId="587B20A0" w14:textId="77777777" w:rsidR="00B81636" w:rsidRPr="00307B53" w:rsidRDefault="00B81636"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CULO ORIGINAL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90C2" id="_x0000_s1027" style="position:absolute;margin-left:55.25pt;margin-top:-17.2pt;width:199.25pt;height:3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" stroked="f">
                <v:textbox>
                  <w:txbxContent>
                    <w:p w14:paraId="587B20A0" w14:textId="77777777" w:rsidR="00B81636" w:rsidRPr="00307B53" w:rsidRDefault="00B81636"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CULO ORIGINAL</w:t>
                      </w:r>
                    </w:p>
                  </w:txbxContent>
                </v:textbox>
              </v:rect>
            </w:pict>
          </mc:Fallback>
        </mc:AlternateContent>
      </w:r>
      <w:r w:rsidR="00BF66ED" w:rsidRPr="00D202BE">
        <w:rPr>
          <w:rFonts w:asciiTheme="majorHAnsi" w:hAnsiTheme="majorHAnsi" w:cs="Times New Roman"/>
          <w:b/>
        </w:rPr>
        <w:tab/>
      </w:r>
      <w:r w:rsidR="00BF66ED" w:rsidRPr="00D202BE">
        <w:rPr>
          <w:rFonts w:asciiTheme="majorHAnsi" w:hAnsiTheme="majorHAnsi" w:cs="Times New Roman"/>
          <w:b/>
        </w:rPr>
        <w:tab/>
      </w:r>
    </w:p>
    <w:p w14:paraId="7C799029" w14:textId="107F1122" w:rsidR="00307B53" w:rsidRPr="00D202BE" w:rsidRDefault="00307B53" w:rsidP="00E1168C">
      <w:pPr>
        <w:autoSpaceDE w:val="0"/>
        <w:autoSpaceDN w:val="0"/>
        <w:adjustRightInd w:val="0"/>
        <w:spacing w:after="0" w:line="360" w:lineRule="auto"/>
        <w:jc w:val="center"/>
        <w:rPr>
          <w:rFonts w:asciiTheme="majorHAnsi" w:hAnsiTheme="majorHAnsi" w:cs="Times New Roman"/>
          <w:b/>
        </w:rPr>
      </w:pPr>
    </w:p>
    <w:p w14:paraId="5E9C7C5D" w14:textId="131C2911" w:rsidR="00FB0182" w:rsidRPr="00D202BE" w:rsidRDefault="00353E1C" w:rsidP="00CF6DCE">
      <w:pPr>
        <w:autoSpaceDE w:val="0"/>
        <w:autoSpaceDN w:val="0"/>
        <w:adjustRightInd w:val="0"/>
        <w:spacing w:after="0" w:line="240" w:lineRule="auto"/>
        <w:jc w:val="center"/>
        <w:rPr>
          <w:rFonts w:asciiTheme="majorHAnsi" w:hAnsiTheme="majorHAnsi" w:cs="Times New Roman"/>
          <w:b/>
          <w:sz w:val="26"/>
          <w:szCs w:val="26"/>
        </w:rPr>
      </w:pPr>
      <w:r w:rsidRPr="00353E1C">
        <w:rPr>
          <w:rFonts w:asciiTheme="majorHAnsi" w:hAnsiTheme="majorHAnsi" w:cs="Times New Roman"/>
          <w:b/>
          <w:sz w:val="26"/>
          <w:szCs w:val="26"/>
        </w:rPr>
        <w:t>Calidad de vida en pacientes con esclerosis múltiple atendidos en una institución de salud de Medellín</w:t>
      </w:r>
      <w:r w:rsidR="003E1805">
        <w:rPr>
          <w:rFonts w:asciiTheme="majorHAnsi" w:hAnsiTheme="majorHAnsi" w:cs="Times New Roman"/>
          <w:b/>
          <w:sz w:val="26"/>
          <w:szCs w:val="26"/>
        </w:rPr>
        <w:t>, Colombia</w:t>
      </w:r>
      <w:r w:rsidRPr="00353E1C">
        <w:rPr>
          <w:rFonts w:asciiTheme="majorHAnsi" w:hAnsiTheme="majorHAnsi" w:cs="Times New Roman"/>
          <w:b/>
          <w:sz w:val="26"/>
          <w:szCs w:val="26"/>
        </w:rPr>
        <w:t xml:space="preserve"> </w:t>
      </w:r>
    </w:p>
    <w:p w14:paraId="345BE536" w14:textId="0E6855A5" w:rsidR="00FB0182" w:rsidRPr="00D202BE" w:rsidRDefault="00FB0182" w:rsidP="00FB2F0D">
      <w:pPr>
        <w:spacing w:after="0" w:line="240" w:lineRule="auto"/>
        <w:jc w:val="center"/>
        <w:rPr>
          <w:rFonts w:asciiTheme="majorHAnsi" w:eastAsia="Calibri" w:hAnsiTheme="majorHAnsi" w:cs="Arial"/>
          <w:b/>
          <w:sz w:val="20"/>
          <w:szCs w:val="20"/>
          <w:lang w:val="es-CO"/>
        </w:rPr>
      </w:pPr>
    </w:p>
    <w:p w14:paraId="5A3C70C1" w14:textId="7BA327EB" w:rsidR="003F6A1B" w:rsidRPr="00D202BE" w:rsidRDefault="003E1805" w:rsidP="003E1805">
      <w:pPr>
        <w:autoSpaceDE w:val="0"/>
        <w:autoSpaceDN w:val="0"/>
        <w:adjustRightInd w:val="0"/>
        <w:spacing w:after="0" w:line="240" w:lineRule="auto"/>
        <w:jc w:val="center"/>
        <w:rPr>
          <w:rFonts w:asciiTheme="majorHAnsi" w:hAnsiTheme="majorHAnsi" w:cs="Times New Roman"/>
          <w:b/>
          <w:sz w:val="18"/>
          <w:szCs w:val="18"/>
          <w:lang w:val="en-US"/>
        </w:rPr>
      </w:pPr>
      <w:r w:rsidRPr="003E1805">
        <w:rPr>
          <w:rFonts w:ascii="Century Gothic" w:eastAsia="Times New Roman" w:hAnsi="Century Gothic" w:cs="Times New Roman"/>
          <w:sz w:val="18"/>
          <w:szCs w:val="18"/>
          <w:lang w:val="en-US"/>
        </w:rPr>
        <w:t xml:space="preserve">Quality of life of patients with multiple sclerosis treated at a health institution in </w:t>
      </w:r>
      <w:r w:rsidR="003F56EE" w:rsidRPr="003E1805">
        <w:rPr>
          <w:rFonts w:ascii="Century Gothic" w:eastAsia="Times New Roman" w:hAnsi="Century Gothic" w:cs="Times New Roman"/>
          <w:sz w:val="18"/>
          <w:szCs w:val="18"/>
          <w:lang w:val="en-US"/>
        </w:rPr>
        <w:t>Medellin</w:t>
      </w:r>
      <w:r w:rsidR="00726CAE">
        <w:rPr>
          <w:rFonts w:ascii="Century Gothic" w:eastAsia="Times New Roman" w:hAnsi="Century Gothic" w:cs="Times New Roman"/>
          <w:sz w:val="18"/>
          <w:szCs w:val="18"/>
          <w:lang w:val="en-US"/>
        </w:rPr>
        <w:t xml:space="preserve">, </w:t>
      </w:r>
      <w:r w:rsidRPr="003E1805">
        <w:rPr>
          <w:rFonts w:ascii="Century Gothic" w:eastAsia="Times New Roman" w:hAnsi="Century Gothic" w:cs="Times New Roman"/>
          <w:sz w:val="18"/>
          <w:szCs w:val="18"/>
          <w:lang w:val="en-US"/>
        </w:rPr>
        <w:t>Colombia</w:t>
      </w:r>
    </w:p>
    <w:p w14:paraId="177BD3E8" w14:textId="77777777" w:rsidR="003F56EE" w:rsidRPr="00D202BE" w:rsidRDefault="003F56EE" w:rsidP="00FB2F0D">
      <w:pPr>
        <w:autoSpaceDE w:val="0"/>
        <w:autoSpaceDN w:val="0"/>
        <w:adjustRightInd w:val="0"/>
        <w:spacing w:after="0" w:line="240" w:lineRule="auto"/>
        <w:jc w:val="both"/>
        <w:rPr>
          <w:rFonts w:asciiTheme="majorHAnsi" w:hAnsiTheme="majorHAnsi" w:cs="Times New Roman"/>
          <w:b/>
          <w:sz w:val="17"/>
          <w:szCs w:val="17"/>
          <w:lang w:val="en-US"/>
        </w:rPr>
      </w:pPr>
    </w:p>
    <w:p w14:paraId="38F01313" w14:textId="047D1B9D" w:rsidR="006647E1" w:rsidRPr="00D202BE" w:rsidRDefault="00D71D66" w:rsidP="00D642E5">
      <w:pPr>
        <w:spacing w:after="0" w:line="360" w:lineRule="auto"/>
        <w:jc w:val="center"/>
        <w:rPr>
          <w:rFonts w:ascii="Century Gothic" w:eastAsia="Calibri" w:hAnsi="Century Gothic" w:cs="Times New Roman"/>
          <w:iCs/>
          <w:sz w:val="16"/>
          <w:szCs w:val="16"/>
        </w:rPr>
      </w:pPr>
      <w:r w:rsidRPr="00D202BE">
        <w:rPr>
          <w:noProof/>
          <w:lang w:val="es-CO" w:eastAsia="es-CO"/>
        </w:rPr>
        <mc:AlternateContent>
          <mc:Choice Requires="wps">
            <w:drawing>
              <wp:anchor distT="0" distB="0" distL="114300" distR="114300" simplePos="0" relativeHeight="251658752" behindDoc="0" locked="0" layoutInCell="1" allowOverlap="1" wp14:anchorId="273BB1F3" wp14:editId="633895C8">
                <wp:simplePos x="0" y="0"/>
                <wp:positionH relativeFrom="margin">
                  <wp:posOffset>4723129</wp:posOffset>
                </wp:positionH>
                <wp:positionV relativeFrom="paragraph">
                  <wp:posOffset>141605</wp:posOffset>
                </wp:positionV>
                <wp:extent cx="4777740" cy="214631"/>
                <wp:effectExtent l="0" t="444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77740" cy="214631"/>
                        </a:xfrm>
                        <a:prstGeom prst="rect">
                          <a:avLst/>
                        </a:prstGeom>
                        <a:solidFill>
                          <a:srgbClr val="FFFFFF"/>
                        </a:solidFill>
                        <a:ln>
                          <a:noFill/>
                        </a:ln>
                        <a:extLs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w="9525">
                              <a:solidFill>
                                <a:srgbClr val="000000"/>
                              </a:solidFill>
                              <a:miter lim="800000"/>
                              <a:headEnd/>
                              <a:tailEnd/>
                            </a14:hiddenLine>
                          </a:ext>
                        </a:extLst>
                      </wps:spPr>
                      <wps:txbx>
                        <w:txbxContent>
                          <w:p w14:paraId="2493D1F4" w14:textId="77777777" w:rsidR="00B81636" w:rsidRPr="006053A3" w:rsidRDefault="00B81636"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B1F3" id="_x0000_s1028" style="position:absolute;left:0;text-align:left;margin-left:371.9pt;margin-top:11.15pt;width:376.2pt;height:16.9pt;rotation:-9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" stroked="f">
                <v:textbox style="layout-flow:vertical;mso-layout-flow-alt:bottom-to-top">
                  <w:txbxContent>
                    <w:p w14:paraId="2493D1F4" w14:textId="77777777" w:rsidR="00B81636" w:rsidRPr="006053A3" w:rsidRDefault="00B81636"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 xml:space="preserve">Este artículo es de acceso abierto bajo licencia </w:t>
                      </w:r>
                      <w:proofErr w:type="spellStart"/>
                      <w:r w:rsidRPr="006053A3">
                        <w:rPr>
                          <w:color w:val="404040" w:themeColor="text1" w:themeTint="BF"/>
                          <w:sz w:val="14"/>
                          <w:szCs w:val="14"/>
                        </w:rPr>
                        <w:t>Creative</w:t>
                      </w:r>
                      <w:proofErr w:type="spellEnd"/>
                      <w:r w:rsidRPr="006053A3">
                        <w:rPr>
                          <w:color w:val="404040" w:themeColor="text1" w:themeTint="BF"/>
                          <w:sz w:val="14"/>
                          <w:szCs w:val="14"/>
                        </w:rPr>
                        <w:t xml:space="preserve"> </w:t>
                      </w:r>
                      <w:proofErr w:type="spellStart"/>
                      <w:r w:rsidRPr="006053A3">
                        <w:rPr>
                          <w:color w:val="404040" w:themeColor="text1" w:themeTint="BF"/>
                          <w:sz w:val="14"/>
                          <w:szCs w:val="14"/>
                        </w:rPr>
                        <w:t>Commons</w:t>
                      </w:r>
                      <w:proofErr w:type="spellEnd"/>
                      <w:r w:rsidRPr="006053A3">
                        <w:rPr>
                          <w:color w:val="404040" w:themeColor="text1" w:themeTint="BF"/>
                          <w:sz w:val="14"/>
                          <w:szCs w:val="14"/>
                        </w:rPr>
                        <w:t xml:space="preserve"> de Atribución-</w:t>
                      </w:r>
                      <w:proofErr w:type="spellStart"/>
                      <w:r w:rsidRPr="006053A3">
                        <w:rPr>
                          <w:color w:val="404040" w:themeColor="text1" w:themeTint="BF"/>
                          <w:sz w:val="14"/>
                          <w:szCs w:val="14"/>
                        </w:rPr>
                        <w:t>NoComercial</w:t>
                      </w:r>
                      <w:proofErr w:type="spellEnd"/>
                      <w:r w:rsidRPr="006053A3">
                        <w:rPr>
                          <w:color w:val="404040" w:themeColor="text1" w:themeTint="BF"/>
                          <w:sz w:val="14"/>
                          <w:szCs w:val="14"/>
                        </w:rPr>
                        <w:t xml:space="preserve"> 4.0 Internacional (CC BY-NC 4.0)</w:t>
                      </w:r>
                    </w:p>
                  </w:txbxContent>
                </v:textbox>
                <w10:wrap anchorx="margin"/>
              </v:rect>
            </w:pict>
          </mc:Fallback>
        </mc:AlternateContent>
      </w:r>
      <w:r w:rsidR="00353E1C">
        <w:rPr>
          <w:rFonts w:ascii="Century Gothic" w:eastAsia="Calibri" w:hAnsi="Century Gothic" w:cs="Times New Roman"/>
          <w:b/>
          <w:iCs/>
          <w:sz w:val="17"/>
          <w:szCs w:val="17"/>
        </w:rPr>
        <w:t>Catalina</w:t>
      </w:r>
      <w:r w:rsidR="005E2DEB" w:rsidRPr="00D202BE">
        <w:rPr>
          <w:rFonts w:ascii="Century Gothic" w:eastAsia="Calibri" w:hAnsi="Century Gothic" w:cs="Times New Roman"/>
          <w:b/>
          <w:iCs/>
          <w:sz w:val="17"/>
          <w:szCs w:val="17"/>
        </w:rPr>
        <w:t xml:space="preserve"> </w:t>
      </w:r>
      <w:r w:rsidR="00353E1C">
        <w:rPr>
          <w:rFonts w:ascii="Century Gothic" w:eastAsia="Calibri" w:hAnsi="Century Gothic" w:cs="Times New Roman"/>
          <w:b/>
          <w:iCs/>
          <w:sz w:val="17"/>
          <w:szCs w:val="17"/>
        </w:rPr>
        <w:t>Orozc</w:t>
      </w:r>
      <w:r w:rsidR="005E2DEB" w:rsidRPr="00D202BE">
        <w:rPr>
          <w:rFonts w:ascii="Century Gothic" w:eastAsia="Calibri" w:hAnsi="Century Gothic" w:cs="Times New Roman"/>
          <w:b/>
          <w:iCs/>
          <w:sz w:val="17"/>
          <w:szCs w:val="17"/>
        </w:rPr>
        <w:t>o-</w:t>
      </w:r>
      <w:r w:rsidR="00353E1C">
        <w:rPr>
          <w:rFonts w:ascii="Century Gothic" w:eastAsia="Calibri" w:hAnsi="Century Gothic" w:cs="Times New Roman"/>
          <w:b/>
          <w:iCs/>
          <w:sz w:val="17"/>
          <w:szCs w:val="17"/>
        </w:rPr>
        <w:t>González</w:t>
      </w:r>
      <w:r w:rsidR="00052119" w:rsidRPr="00D202BE">
        <w:rPr>
          <w:rFonts w:ascii="Century Gothic" w:eastAsia="Calibri" w:hAnsi="Century Gothic" w:cs="Times New Roman"/>
          <w:b/>
          <w:iCs/>
          <w:sz w:val="17"/>
          <w:szCs w:val="17"/>
          <w:vertAlign w:val="superscript"/>
        </w:rPr>
        <w:t>1</w:t>
      </w:r>
      <w:r w:rsidR="003F56EE">
        <w:rPr>
          <w:rFonts w:ascii="Century Gothic" w:eastAsia="Calibri" w:hAnsi="Century Gothic" w:cs="Times New Roman"/>
          <w:b/>
          <w:iCs/>
          <w:sz w:val="17"/>
          <w:szCs w:val="17"/>
        </w:rPr>
        <w:t>*</w:t>
      </w:r>
      <w:r w:rsidR="00052119" w:rsidRPr="00D202BE">
        <w:rPr>
          <w:rFonts w:ascii="Century Gothic" w:eastAsia="Calibri" w:hAnsi="Century Gothic" w:cs="Times New Roman"/>
          <w:b/>
          <w:iCs/>
          <w:sz w:val="17"/>
          <w:szCs w:val="17"/>
        </w:rPr>
        <w:t xml:space="preserve"> </w:t>
      </w:r>
      <w:r w:rsidR="008331AE">
        <w:rPr>
          <w:rFonts w:ascii="Century Gothic" w:eastAsia="Calibri" w:hAnsi="Century Gothic" w:cs="Times New Roman"/>
          <w:b/>
          <w:iCs/>
          <w:sz w:val="17"/>
          <w:szCs w:val="17"/>
        </w:rPr>
        <w:t xml:space="preserve"> </w:t>
      </w:r>
      <w:r w:rsidR="00052119" w:rsidRPr="008331AE">
        <w:rPr>
          <w:rFonts w:ascii="Century Gothic" w:hAnsi="Century Gothic" w:cs="Arial"/>
          <w:sz w:val="16"/>
          <w:szCs w:val="18"/>
          <w:shd w:val="clear" w:color="auto" w:fill="FFFFFF"/>
        </w:rPr>
        <w:t>orcid.org</w:t>
      </w:r>
      <w:r w:rsidR="00B65CBE" w:rsidRPr="008331AE">
        <w:rPr>
          <w:rFonts w:ascii="Century Gothic" w:hAnsi="Century Gothic" w:cs="Arial"/>
          <w:sz w:val="16"/>
          <w:szCs w:val="18"/>
          <w:shd w:val="clear" w:color="auto" w:fill="FFFFFF"/>
        </w:rPr>
        <w:t>/0000-0001-7845-7279</w:t>
      </w:r>
    </w:p>
    <w:p w14:paraId="6D1896AB" w14:textId="13E2BD09" w:rsidR="00B14027" w:rsidRPr="00D202BE" w:rsidRDefault="0011076B" w:rsidP="00D642E5">
      <w:pPr>
        <w:autoSpaceDE w:val="0"/>
        <w:autoSpaceDN w:val="0"/>
        <w:adjustRightInd w:val="0"/>
        <w:spacing w:after="0" w:line="360" w:lineRule="auto"/>
        <w:jc w:val="center"/>
        <w:rPr>
          <w:rFonts w:ascii="Century Gothic" w:eastAsia="Calibri" w:hAnsi="Century Gothic" w:cs="Times New Roman"/>
          <w:iCs/>
          <w:sz w:val="16"/>
          <w:szCs w:val="16"/>
        </w:rPr>
      </w:pPr>
      <w:r w:rsidRPr="00D202BE">
        <w:rPr>
          <w:rFonts w:ascii="Century Gothic" w:eastAsia="Calibri" w:hAnsi="Century Gothic" w:cs="Times New Roman"/>
          <w:b/>
          <w:iCs/>
          <w:sz w:val="17"/>
          <w:szCs w:val="17"/>
        </w:rPr>
        <w:t xml:space="preserve"> </w:t>
      </w:r>
      <w:r w:rsidR="00353E1C">
        <w:rPr>
          <w:rFonts w:ascii="Century Gothic" w:eastAsia="Calibri" w:hAnsi="Century Gothic" w:cs="Times New Roman"/>
          <w:b/>
          <w:iCs/>
          <w:sz w:val="17"/>
          <w:szCs w:val="17"/>
        </w:rPr>
        <w:t>Basilio</w:t>
      </w:r>
      <w:r w:rsidR="005E2DEB" w:rsidRPr="00D202BE">
        <w:rPr>
          <w:rFonts w:ascii="Century Gothic" w:eastAsia="Calibri" w:hAnsi="Century Gothic" w:cs="Times New Roman"/>
          <w:b/>
          <w:iCs/>
          <w:sz w:val="17"/>
          <w:szCs w:val="17"/>
        </w:rPr>
        <w:t xml:space="preserve"> </w:t>
      </w:r>
      <w:r w:rsidR="00353E1C">
        <w:rPr>
          <w:rFonts w:ascii="Century Gothic" w:eastAsia="Calibri" w:hAnsi="Century Gothic" w:cs="Times New Roman"/>
          <w:b/>
          <w:iCs/>
          <w:sz w:val="17"/>
          <w:szCs w:val="17"/>
        </w:rPr>
        <w:t>Vagner</w:t>
      </w:r>
      <w:r w:rsidR="005E2DEB" w:rsidRPr="00D202BE">
        <w:rPr>
          <w:rFonts w:ascii="Century Gothic" w:eastAsia="Calibri" w:hAnsi="Century Gothic" w:cs="Times New Roman"/>
          <w:b/>
          <w:iCs/>
          <w:sz w:val="17"/>
          <w:szCs w:val="17"/>
        </w:rPr>
        <w:t>-</w:t>
      </w:r>
      <w:r w:rsidR="00353E1C">
        <w:rPr>
          <w:rFonts w:ascii="Century Gothic" w:eastAsia="Calibri" w:hAnsi="Century Gothic" w:cs="Times New Roman"/>
          <w:b/>
          <w:iCs/>
          <w:sz w:val="17"/>
          <w:szCs w:val="17"/>
        </w:rPr>
        <w:t>Ramírez</w:t>
      </w:r>
      <w:r w:rsidR="006C7B0C">
        <w:rPr>
          <w:rFonts w:ascii="Century Gothic" w:eastAsia="Calibri" w:hAnsi="Century Gothic" w:cs="Times New Roman"/>
          <w:b/>
          <w:iCs/>
          <w:sz w:val="17"/>
          <w:szCs w:val="17"/>
          <w:vertAlign w:val="superscript"/>
        </w:rPr>
        <w:t>1</w:t>
      </w:r>
      <w:r w:rsidR="00052119" w:rsidRPr="00D202BE">
        <w:rPr>
          <w:rFonts w:ascii="Century Gothic" w:eastAsia="Calibri" w:hAnsi="Century Gothic" w:cs="Times New Roman"/>
          <w:b/>
          <w:iCs/>
          <w:sz w:val="17"/>
          <w:szCs w:val="17"/>
        </w:rPr>
        <w:t xml:space="preserve"> </w:t>
      </w:r>
      <w:r w:rsidR="008331AE">
        <w:rPr>
          <w:rFonts w:ascii="Century Gothic" w:eastAsia="Calibri" w:hAnsi="Century Gothic" w:cs="Times New Roman"/>
          <w:b/>
          <w:iCs/>
          <w:sz w:val="17"/>
          <w:szCs w:val="17"/>
        </w:rPr>
        <w:t xml:space="preserve"> </w:t>
      </w:r>
      <w:r w:rsidR="004D263C" w:rsidRPr="008331AE">
        <w:rPr>
          <w:rFonts w:ascii="Century Gothic" w:hAnsi="Century Gothic" w:cs="Arial"/>
          <w:sz w:val="16"/>
          <w:szCs w:val="18"/>
          <w:shd w:val="clear" w:color="auto" w:fill="FFFFFF"/>
        </w:rPr>
        <w:t>orcid.org/0000-0002-7957-7923</w:t>
      </w:r>
    </w:p>
    <w:p w14:paraId="4828B3DE" w14:textId="7EFF8E4A" w:rsidR="005E2DEB" w:rsidRDefault="00353E1C" w:rsidP="00353E1C">
      <w:pPr>
        <w:autoSpaceDE w:val="0"/>
        <w:autoSpaceDN w:val="0"/>
        <w:adjustRightInd w:val="0"/>
        <w:spacing w:after="0" w:line="360" w:lineRule="auto"/>
        <w:jc w:val="center"/>
        <w:rPr>
          <w:rFonts w:ascii="Century Gothic" w:eastAsia="Calibri" w:hAnsi="Century Gothic" w:cs="Times New Roman"/>
          <w:iCs/>
          <w:color w:val="FF0000"/>
          <w:sz w:val="16"/>
          <w:szCs w:val="16"/>
        </w:rPr>
      </w:pPr>
      <w:r>
        <w:rPr>
          <w:rFonts w:ascii="Century Gothic" w:eastAsia="Calibri" w:hAnsi="Century Gothic" w:cs="Times New Roman"/>
          <w:b/>
          <w:iCs/>
          <w:sz w:val="17"/>
          <w:szCs w:val="17"/>
        </w:rPr>
        <w:t>Carolina</w:t>
      </w:r>
      <w:r w:rsidR="008F5CD1" w:rsidRPr="00D202BE">
        <w:rPr>
          <w:rFonts w:ascii="Century Gothic" w:eastAsia="Calibri" w:hAnsi="Century Gothic" w:cs="Times New Roman"/>
          <w:b/>
          <w:iCs/>
          <w:sz w:val="17"/>
          <w:szCs w:val="17"/>
        </w:rPr>
        <w:t xml:space="preserve"> </w:t>
      </w:r>
      <w:r>
        <w:rPr>
          <w:rFonts w:ascii="Century Gothic" w:eastAsia="Calibri" w:hAnsi="Century Gothic" w:cs="Times New Roman"/>
          <w:b/>
          <w:iCs/>
          <w:sz w:val="17"/>
          <w:szCs w:val="17"/>
        </w:rPr>
        <w:t>Salas</w:t>
      </w:r>
      <w:r w:rsidR="005E2DEB" w:rsidRPr="00D202BE">
        <w:rPr>
          <w:rFonts w:ascii="Century Gothic" w:eastAsia="Calibri" w:hAnsi="Century Gothic" w:cs="Times New Roman"/>
          <w:b/>
          <w:iCs/>
          <w:sz w:val="17"/>
          <w:szCs w:val="17"/>
        </w:rPr>
        <w:t>-</w:t>
      </w:r>
      <w:r>
        <w:rPr>
          <w:rFonts w:ascii="Century Gothic" w:eastAsia="Calibri" w:hAnsi="Century Gothic" w:cs="Times New Roman"/>
          <w:b/>
          <w:iCs/>
          <w:sz w:val="17"/>
          <w:szCs w:val="17"/>
        </w:rPr>
        <w:t>Zapata</w:t>
      </w:r>
      <w:r w:rsidR="00B81636">
        <w:rPr>
          <w:rFonts w:ascii="Century Gothic" w:eastAsia="Calibri" w:hAnsi="Century Gothic" w:cs="Times New Roman"/>
          <w:b/>
          <w:iCs/>
          <w:sz w:val="17"/>
          <w:szCs w:val="17"/>
          <w:vertAlign w:val="superscript"/>
        </w:rPr>
        <w:t>2</w:t>
      </w:r>
      <w:r w:rsidR="002901BE" w:rsidRPr="00D202BE">
        <w:rPr>
          <w:rFonts w:ascii="Century Gothic" w:eastAsia="Calibri" w:hAnsi="Century Gothic" w:cs="Times New Roman"/>
          <w:b/>
          <w:iCs/>
          <w:sz w:val="17"/>
          <w:szCs w:val="17"/>
        </w:rPr>
        <w:t xml:space="preserve"> </w:t>
      </w:r>
      <w:r w:rsidR="008331AE">
        <w:rPr>
          <w:rFonts w:ascii="Century Gothic" w:eastAsia="Calibri" w:hAnsi="Century Gothic" w:cs="Times New Roman"/>
          <w:b/>
          <w:iCs/>
          <w:sz w:val="17"/>
          <w:szCs w:val="17"/>
        </w:rPr>
        <w:t xml:space="preserve"> </w:t>
      </w:r>
      <w:r w:rsidR="004D263C" w:rsidRPr="008331AE">
        <w:rPr>
          <w:rFonts w:ascii="Century Gothic" w:hAnsi="Century Gothic" w:cs="Arial"/>
          <w:sz w:val="16"/>
          <w:szCs w:val="18"/>
          <w:shd w:val="clear" w:color="auto" w:fill="FFFFFF"/>
        </w:rPr>
        <w:t>orcid.org/0000-0002-1565-5021</w:t>
      </w:r>
    </w:p>
    <w:p w14:paraId="16196AF2" w14:textId="4ADF813E" w:rsidR="00177335" w:rsidRPr="00C400DE" w:rsidRDefault="00177335" w:rsidP="00E1168C">
      <w:pPr>
        <w:autoSpaceDE w:val="0"/>
        <w:autoSpaceDN w:val="0"/>
        <w:adjustRightInd w:val="0"/>
        <w:spacing w:after="0" w:line="360" w:lineRule="auto"/>
        <w:jc w:val="center"/>
        <w:rPr>
          <w:rFonts w:ascii="Century Gothic" w:eastAsia="Calibri" w:hAnsi="Century Gothic" w:cs="Times New Roman"/>
          <w:b/>
          <w:iCs/>
          <w:sz w:val="12"/>
          <w:szCs w:val="14"/>
          <w:vertAlign w:val="superscript"/>
        </w:rPr>
      </w:pPr>
    </w:p>
    <w:p w14:paraId="2F91115A" w14:textId="52F1A48F" w:rsidR="003F56EE" w:rsidRPr="00720572" w:rsidRDefault="00103AA0" w:rsidP="00720572">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sz w:val="16"/>
          <w:szCs w:val="16"/>
        </w:rPr>
      </w:pPr>
      <w:r w:rsidRPr="00720572">
        <w:rPr>
          <w:rFonts w:ascii="Century Gothic" w:eastAsia="Times New Roman" w:hAnsi="Century Gothic" w:cs="Times New Roman"/>
          <w:sz w:val="16"/>
          <w:szCs w:val="16"/>
        </w:rPr>
        <w:t>Medicarte IPS. Medellín</w:t>
      </w:r>
      <w:r w:rsidR="00BC4951" w:rsidRPr="00720572">
        <w:rPr>
          <w:rFonts w:ascii="Century Gothic" w:eastAsia="Times New Roman" w:hAnsi="Century Gothic" w:cs="Times New Roman"/>
          <w:sz w:val="16"/>
          <w:szCs w:val="16"/>
        </w:rPr>
        <w:t>, Colombia</w:t>
      </w:r>
    </w:p>
    <w:p w14:paraId="7449FD0C" w14:textId="091FC322" w:rsidR="001D41D5" w:rsidRPr="00720572" w:rsidRDefault="004D263C" w:rsidP="00720572">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sz w:val="16"/>
          <w:szCs w:val="16"/>
        </w:rPr>
      </w:pPr>
      <w:r w:rsidRPr="00720572">
        <w:rPr>
          <w:rFonts w:ascii="Century Gothic" w:eastAsia="Times New Roman" w:hAnsi="Century Gothic" w:cs="Times New Roman"/>
          <w:sz w:val="16"/>
          <w:szCs w:val="16"/>
        </w:rPr>
        <w:t>Facultad de Medicina</w:t>
      </w:r>
      <w:r w:rsidR="006C7B0C">
        <w:rPr>
          <w:rFonts w:ascii="Calibri" w:hAnsi="Calibri" w:cs="Calibri"/>
          <w:color w:val="222222"/>
          <w:sz w:val="16"/>
          <w:szCs w:val="16"/>
          <w:shd w:val="clear" w:color="auto" w:fill="FFFFFF"/>
        </w:rPr>
        <w:t>,</w:t>
      </w:r>
      <w:r w:rsidRPr="00720572">
        <w:rPr>
          <w:rFonts w:ascii="Calibri" w:hAnsi="Calibri" w:cs="Calibri"/>
          <w:color w:val="222222"/>
          <w:sz w:val="16"/>
          <w:szCs w:val="16"/>
          <w:shd w:val="clear" w:color="auto" w:fill="FFFFFF"/>
        </w:rPr>
        <w:t xml:space="preserve"> </w:t>
      </w:r>
      <w:r w:rsidR="00103AA0" w:rsidRPr="00720572">
        <w:rPr>
          <w:rFonts w:ascii="Century Gothic" w:eastAsia="Times New Roman" w:hAnsi="Century Gothic" w:cs="Times New Roman"/>
          <w:sz w:val="16"/>
          <w:szCs w:val="16"/>
        </w:rPr>
        <w:t>Universidad CES</w:t>
      </w:r>
      <w:r w:rsidR="001D41D5" w:rsidRPr="00720572">
        <w:rPr>
          <w:rFonts w:ascii="Century Gothic" w:eastAsia="Times New Roman" w:hAnsi="Century Gothic" w:cs="Times New Roman"/>
          <w:sz w:val="16"/>
          <w:szCs w:val="16"/>
        </w:rPr>
        <w:t>. Medellín, Colombia</w:t>
      </w:r>
    </w:p>
    <w:p w14:paraId="52F023F4" w14:textId="77777777" w:rsidR="00EC6616" w:rsidRPr="00D202BE" w:rsidRDefault="00EC6616" w:rsidP="00DB3A66">
      <w:pPr>
        <w:spacing w:after="0" w:line="240" w:lineRule="auto"/>
        <w:rPr>
          <w:rFonts w:ascii="Century Gothic" w:eastAsia="Calibri" w:hAnsi="Century Gothic" w:cs="Times New Roman"/>
          <w:iCs/>
          <w:sz w:val="16"/>
          <w:szCs w:val="14"/>
        </w:rPr>
      </w:pPr>
    </w:p>
    <w:p w14:paraId="61A0382E" w14:textId="35641CE1" w:rsidR="001A65B3" w:rsidRPr="00D202BE" w:rsidRDefault="001A65B3" w:rsidP="00307B53">
      <w:pPr>
        <w:spacing w:after="0" w:line="360" w:lineRule="auto"/>
        <w:rPr>
          <w:rFonts w:ascii="Century Gothic" w:eastAsia="Calibri" w:hAnsi="Century Gothic" w:cs="Times New Roman"/>
          <w:iCs/>
          <w:sz w:val="16"/>
          <w:szCs w:val="14"/>
        </w:rPr>
      </w:pPr>
      <w:r w:rsidRPr="00D202BE">
        <w:rPr>
          <w:rFonts w:ascii="Century Gothic" w:eastAsia="Calibri" w:hAnsi="Century Gothic" w:cs="Times New Roman"/>
          <w:iCs/>
          <w:sz w:val="16"/>
          <w:szCs w:val="14"/>
        </w:rPr>
        <w:t>Fecha de recepción:</w:t>
      </w:r>
      <w:r w:rsidR="00D70D0F" w:rsidRPr="00D202BE">
        <w:rPr>
          <w:rFonts w:ascii="Century Gothic" w:eastAsia="Calibri" w:hAnsi="Century Gothic" w:cs="Times New Roman"/>
          <w:iCs/>
          <w:sz w:val="16"/>
          <w:szCs w:val="14"/>
        </w:rPr>
        <w:t xml:space="preserve"> </w:t>
      </w:r>
      <w:r w:rsidR="00353E1C">
        <w:rPr>
          <w:rFonts w:ascii="Century Gothic" w:eastAsia="Calibri" w:hAnsi="Century Gothic" w:cs="Times New Roman"/>
          <w:iCs/>
          <w:sz w:val="16"/>
          <w:szCs w:val="14"/>
        </w:rPr>
        <w:t>Enero</w:t>
      </w:r>
      <w:r w:rsidR="00EC6616" w:rsidRPr="00D202BE">
        <w:rPr>
          <w:rFonts w:ascii="Century Gothic" w:eastAsia="Calibri" w:hAnsi="Century Gothic" w:cs="Times New Roman"/>
          <w:iCs/>
          <w:sz w:val="16"/>
          <w:szCs w:val="14"/>
        </w:rPr>
        <w:t xml:space="preserve"> 2</w:t>
      </w:r>
      <w:r w:rsidR="00353E1C">
        <w:rPr>
          <w:rFonts w:ascii="Century Gothic" w:eastAsia="Calibri" w:hAnsi="Century Gothic" w:cs="Times New Roman"/>
          <w:iCs/>
          <w:sz w:val="16"/>
          <w:szCs w:val="14"/>
        </w:rPr>
        <w:t>3</w:t>
      </w:r>
      <w:r w:rsidR="005F4AEB" w:rsidRPr="00D202BE">
        <w:rPr>
          <w:rFonts w:ascii="Century Gothic" w:eastAsia="Calibri" w:hAnsi="Century Gothic" w:cs="Times New Roman"/>
          <w:iCs/>
          <w:sz w:val="16"/>
          <w:szCs w:val="14"/>
        </w:rPr>
        <w:t xml:space="preserve"> - </w:t>
      </w:r>
      <w:r w:rsidR="00776C9A" w:rsidRPr="00D202BE">
        <w:rPr>
          <w:rFonts w:ascii="Century Gothic" w:eastAsia="Calibri" w:hAnsi="Century Gothic" w:cs="Times New Roman"/>
          <w:iCs/>
          <w:sz w:val="16"/>
          <w:szCs w:val="14"/>
        </w:rPr>
        <w:t>201</w:t>
      </w:r>
      <w:r w:rsidR="00353E1C">
        <w:rPr>
          <w:rFonts w:ascii="Century Gothic" w:eastAsia="Calibri" w:hAnsi="Century Gothic" w:cs="Times New Roman"/>
          <w:iCs/>
          <w:sz w:val="16"/>
          <w:szCs w:val="14"/>
        </w:rPr>
        <w:t>8</w:t>
      </w:r>
      <w:r w:rsidR="005F4AEB" w:rsidRPr="00D202BE">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4C4295" w:rsidRPr="00D202BE">
        <w:rPr>
          <w:rFonts w:ascii="Century Gothic" w:eastAsia="Calibri" w:hAnsi="Century Gothic" w:cs="Times New Roman"/>
          <w:iCs/>
          <w:sz w:val="16"/>
          <w:szCs w:val="14"/>
        </w:rPr>
        <w:t xml:space="preserve">  </w:t>
      </w:r>
      <w:r w:rsidR="003F56E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D237F2" w:rsidRPr="00D202BE">
        <w:rPr>
          <w:rFonts w:ascii="Century Gothic" w:eastAsia="Calibri" w:hAnsi="Century Gothic" w:cs="Times New Roman"/>
          <w:iCs/>
          <w:sz w:val="16"/>
          <w:szCs w:val="14"/>
        </w:rPr>
        <w:t xml:space="preserve">   </w:t>
      </w:r>
      <w:r w:rsidR="003F56EE">
        <w:rPr>
          <w:rFonts w:ascii="Century Gothic" w:eastAsia="Calibri" w:hAnsi="Century Gothic" w:cs="Times New Roman"/>
          <w:iCs/>
          <w:sz w:val="16"/>
          <w:szCs w:val="14"/>
        </w:rPr>
        <w:t xml:space="preserve"> </w:t>
      </w:r>
      <w:r w:rsidR="00A40207" w:rsidRPr="00D202BE">
        <w:rPr>
          <w:rFonts w:ascii="Century Gothic" w:eastAsia="Calibri" w:hAnsi="Century Gothic" w:cs="Times New Roman"/>
          <w:iCs/>
          <w:sz w:val="16"/>
          <w:szCs w:val="14"/>
        </w:rPr>
        <w:t xml:space="preserve"> </w:t>
      </w:r>
      <w:r w:rsidR="005F4AEB" w:rsidRPr="00D202BE">
        <w:rPr>
          <w:rFonts w:ascii="Century Gothic" w:eastAsia="Calibri" w:hAnsi="Century Gothic" w:cs="Times New Roman"/>
          <w:iCs/>
          <w:sz w:val="16"/>
          <w:szCs w:val="14"/>
        </w:rPr>
        <w:t xml:space="preserve"> Fecha de </w:t>
      </w:r>
      <w:r w:rsidR="00571698" w:rsidRPr="00D202BE">
        <w:rPr>
          <w:rFonts w:ascii="Century Gothic" w:eastAsia="Calibri" w:hAnsi="Century Gothic" w:cs="Times New Roman"/>
          <w:iCs/>
          <w:sz w:val="16"/>
          <w:szCs w:val="14"/>
        </w:rPr>
        <w:t>revis</w:t>
      </w:r>
      <w:r w:rsidR="005F4AEB" w:rsidRPr="00D202BE">
        <w:rPr>
          <w:rFonts w:ascii="Century Gothic" w:eastAsia="Calibri" w:hAnsi="Century Gothic" w:cs="Times New Roman"/>
          <w:iCs/>
          <w:sz w:val="16"/>
          <w:szCs w:val="14"/>
        </w:rPr>
        <w:t xml:space="preserve">ión: </w:t>
      </w:r>
      <w:r w:rsidR="00353E1C">
        <w:rPr>
          <w:rFonts w:ascii="Century Gothic" w:eastAsia="Calibri" w:hAnsi="Century Gothic" w:cs="Times New Roman"/>
          <w:iCs/>
          <w:sz w:val="16"/>
          <w:szCs w:val="14"/>
        </w:rPr>
        <w:t>Marzo</w:t>
      </w:r>
      <w:r w:rsidR="00A221DB" w:rsidRPr="00D202BE">
        <w:rPr>
          <w:rFonts w:ascii="Century Gothic" w:eastAsia="Calibri" w:hAnsi="Century Gothic" w:cs="Times New Roman"/>
          <w:iCs/>
          <w:sz w:val="16"/>
          <w:szCs w:val="14"/>
        </w:rPr>
        <w:t xml:space="preserve"> </w:t>
      </w:r>
      <w:r w:rsidR="00353E1C">
        <w:rPr>
          <w:rFonts w:ascii="Century Gothic" w:eastAsia="Calibri" w:hAnsi="Century Gothic" w:cs="Times New Roman"/>
          <w:iCs/>
          <w:sz w:val="16"/>
          <w:szCs w:val="14"/>
        </w:rPr>
        <w:t>27</w:t>
      </w:r>
      <w:r w:rsidR="005F4AEB" w:rsidRPr="00D202BE">
        <w:rPr>
          <w:rFonts w:ascii="Century Gothic" w:eastAsia="Calibri" w:hAnsi="Century Gothic" w:cs="Times New Roman"/>
          <w:iCs/>
          <w:sz w:val="16"/>
          <w:szCs w:val="14"/>
        </w:rPr>
        <w:t xml:space="preserve"> - 201</w:t>
      </w:r>
      <w:r w:rsidR="00353E1C">
        <w:rPr>
          <w:rFonts w:ascii="Century Gothic" w:eastAsia="Calibri" w:hAnsi="Century Gothic" w:cs="Times New Roman"/>
          <w:iCs/>
          <w:sz w:val="16"/>
          <w:szCs w:val="14"/>
        </w:rPr>
        <w:t>9</w:t>
      </w:r>
      <w:r w:rsidR="005F4AEB" w:rsidRPr="00D202BE">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3F56EE">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5E2DEB"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Pr="00D202BE">
        <w:rPr>
          <w:rFonts w:ascii="Century Gothic" w:eastAsia="Calibri" w:hAnsi="Century Gothic" w:cs="Times New Roman"/>
          <w:iCs/>
          <w:sz w:val="16"/>
          <w:szCs w:val="14"/>
        </w:rPr>
        <w:t>Fecha de aceptación:</w:t>
      </w:r>
      <w:r w:rsidR="00D70D0F" w:rsidRPr="00D202BE">
        <w:rPr>
          <w:rFonts w:ascii="Century Gothic" w:eastAsia="Calibri" w:hAnsi="Century Gothic" w:cs="Times New Roman"/>
          <w:iCs/>
          <w:sz w:val="16"/>
          <w:szCs w:val="14"/>
        </w:rPr>
        <w:t xml:space="preserve"> </w:t>
      </w:r>
      <w:r w:rsidR="00353E1C" w:rsidRPr="00720572">
        <w:rPr>
          <w:rFonts w:ascii="Century Gothic" w:eastAsia="Calibri" w:hAnsi="Century Gothic" w:cs="Times New Roman"/>
          <w:iCs/>
          <w:sz w:val="16"/>
          <w:szCs w:val="14"/>
        </w:rPr>
        <w:t>Agosto</w:t>
      </w:r>
      <w:r w:rsidR="002416BD" w:rsidRPr="00720572">
        <w:rPr>
          <w:rFonts w:ascii="Century Gothic" w:eastAsia="Calibri" w:hAnsi="Century Gothic" w:cs="Times New Roman"/>
          <w:iCs/>
          <w:sz w:val="16"/>
          <w:szCs w:val="14"/>
        </w:rPr>
        <w:t xml:space="preserve"> </w:t>
      </w:r>
      <w:r w:rsidR="003F56EE" w:rsidRPr="00720572">
        <w:rPr>
          <w:rFonts w:ascii="Century Gothic" w:eastAsia="Calibri" w:hAnsi="Century Gothic" w:cs="Times New Roman"/>
          <w:iCs/>
          <w:sz w:val="16"/>
          <w:szCs w:val="14"/>
        </w:rPr>
        <w:t>9</w:t>
      </w:r>
      <w:r w:rsidR="002416BD" w:rsidRPr="00720572">
        <w:rPr>
          <w:rFonts w:ascii="Century Gothic" w:eastAsia="Calibri" w:hAnsi="Century Gothic" w:cs="Times New Roman"/>
          <w:iCs/>
          <w:sz w:val="16"/>
          <w:szCs w:val="14"/>
        </w:rPr>
        <w:t xml:space="preserve"> </w:t>
      </w:r>
      <w:r w:rsidR="00776C9A" w:rsidRPr="00720572">
        <w:rPr>
          <w:rFonts w:ascii="Century Gothic" w:eastAsia="Calibri" w:hAnsi="Century Gothic" w:cs="Times New Roman"/>
          <w:iCs/>
          <w:sz w:val="16"/>
          <w:szCs w:val="14"/>
        </w:rPr>
        <w:t>- 201</w:t>
      </w:r>
      <w:r w:rsidR="00353E1C" w:rsidRPr="00720572">
        <w:rPr>
          <w:rFonts w:ascii="Century Gothic" w:eastAsia="Calibri" w:hAnsi="Century Gothic" w:cs="Times New Roman"/>
          <w:iCs/>
          <w:sz w:val="16"/>
          <w:szCs w:val="14"/>
        </w:rPr>
        <w:t>9</w:t>
      </w:r>
    </w:p>
    <w:p w14:paraId="5A98362B" w14:textId="7B330EE8" w:rsidR="001A65B3" w:rsidRPr="00D202BE" w:rsidRDefault="001A65B3" w:rsidP="00307B53">
      <w:pPr>
        <w:autoSpaceDE w:val="0"/>
        <w:autoSpaceDN w:val="0"/>
        <w:adjustRightInd w:val="0"/>
        <w:spacing w:after="0" w:line="240" w:lineRule="auto"/>
        <w:jc w:val="both"/>
        <w:rPr>
          <w:rFonts w:asciiTheme="majorHAnsi" w:hAnsiTheme="majorHAnsi" w:cs="Times New Roman"/>
          <w:i/>
          <w:sz w:val="4"/>
          <w:szCs w:val="4"/>
        </w:rPr>
      </w:pP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8"/>
      </w:tblGrid>
      <w:tr w:rsidR="00BF66ED" w:rsidRPr="00D202BE" w14:paraId="1C29E871" w14:textId="77777777" w:rsidTr="00353E1C">
        <w:trPr>
          <w:trHeight w:val="567"/>
        </w:trPr>
        <w:tc>
          <w:tcPr>
            <w:tcW w:w="5000" w:type="pct"/>
            <w:tcBorders>
              <w:top w:val="single" w:sz="2" w:space="0" w:color="auto"/>
              <w:bottom w:val="single" w:sz="2" w:space="0" w:color="auto"/>
            </w:tcBorders>
            <w:vAlign w:val="center"/>
          </w:tcPr>
          <w:p w14:paraId="1C62FA52" w14:textId="423CE404" w:rsidR="00BF66ED" w:rsidRPr="00D202BE" w:rsidRDefault="00353E1C" w:rsidP="00726CAE">
            <w:pPr>
              <w:autoSpaceDE w:val="0"/>
              <w:autoSpaceDN w:val="0"/>
              <w:adjustRightInd w:val="0"/>
              <w:jc w:val="both"/>
              <w:rPr>
                <w:rFonts w:asciiTheme="majorHAnsi" w:eastAsia="Calibri" w:hAnsiTheme="majorHAnsi" w:cs="Times New Roman"/>
                <w:b/>
                <w:szCs w:val="20"/>
              </w:rPr>
            </w:pPr>
            <w:r w:rsidRPr="00353E1C">
              <w:rPr>
                <w:rFonts w:asciiTheme="majorHAnsi" w:hAnsiTheme="majorHAnsi" w:cs="Arial"/>
                <w:i/>
                <w:sz w:val="18"/>
                <w:szCs w:val="18"/>
              </w:rPr>
              <w:t>Orozco-González</w:t>
            </w:r>
            <w:r>
              <w:rPr>
                <w:rFonts w:asciiTheme="majorHAnsi" w:hAnsiTheme="majorHAnsi" w:cs="Arial"/>
                <w:i/>
                <w:sz w:val="18"/>
                <w:szCs w:val="18"/>
              </w:rPr>
              <w:t xml:space="preserve"> C, </w:t>
            </w:r>
            <w:r w:rsidRPr="00353E1C">
              <w:rPr>
                <w:rFonts w:asciiTheme="majorHAnsi" w:hAnsiTheme="majorHAnsi" w:cs="Arial"/>
                <w:i/>
                <w:sz w:val="18"/>
                <w:szCs w:val="18"/>
              </w:rPr>
              <w:t>Vagner-Ramírez</w:t>
            </w:r>
            <w:r>
              <w:rPr>
                <w:rFonts w:asciiTheme="majorHAnsi" w:hAnsiTheme="majorHAnsi" w:cs="Arial"/>
                <w:i/>
                <w:sz w:val="18"/>
                <w:szCs w:val="18"/>
              </w:rPr>
              <w:t xml:space="preserve"> B, </w:t>
            </w:r>
            <w:r w:rsidRPr="00353E1C">
              <w:rPr>
                <w:rFonts w:asciiTheme="majorHAnsi" w:hAnsiTheme="majorHAnsi" w:cs="Arial"/>
                <w:i/>
                <w:sz w:val="18"/>
                <w:szCs w:val="18"/>
              </w:rPr>
              <w:t>Salas-Zapata</w:t>
            </w:r>
            <w:r>
              <w:rPr>
                <w:rFonts w:asciiTheme="majorHAnsi" w:hAnsiTheme="majorHAnsi" w:cs="Arial"/>
                <w:i/>
                <w:sz w:val="18"/>
                <w:szCs w:val="18"/>
              </w:rPr>
              <w:t xml:space="preserve"> C</w:t>
            </w:r>
            <w:r w:rsidR="00667CA5" w:rsidRPr="00D202BE">
              <w:rPr>
                <w:rFonts w:asciiTheme="majorHAnsi" w:hAnsiTheme="majorHAnsi" w:cs="Arial"/>
                <w:i/>
                <w:sz w:val="18"/>
                <w:szCs w:val="18"/>
              </w:rPr>
              <w:t xml:space="preserve">. </w:t>
            </w:r>
            <w:r w:rsidR="004B5F0C" w:rsidRPr="004B5F0C">
              <w:rPr>
                <w:rFonts w:asciiTheme="majorHAnsi" w:hAnsiTheme="majorHAnsi" w:cs="Arial"/>
                <w:i/>
                <w:sz w:val="18"/>
                <w:szCs w:val="18"/>
              </w:rPr>
              <w:t>Calidad de vida en pacientes con esclerosis múltiple atendidos en una institución de salud de Medellín, Colombia</w:t>
            </w:r>
            <w:r w:rsidR="00667CA5" w:rsidRPr="00936BCD">
              <w:rPr>
                <w:rFonts w:asciiTheme="majorHAnsi" w:hAnsiTheme="majorHAnsi" w:cs="Arial"/>
                <w:i/>
                <w:sz w:val="18"/>
                <w:szCs w:val="18"/>
              </w:rPr>
              <w:t>. Univ. Salud. 201</w:t>
            </w:r>
            <w:r w:rsidR="000F2407" w:rsidRPr="00936BCD">
              <w:rPr>
                <w:rFonts w:asciiTheme="majorHAnsi" w:hAnsiTheme="majorHAnsi" w:cs="Arial"/>
                <w:i/>
                <w:sz w:val="18"/>
                <w:szCs w:val="18"/>
              </w:rPr>
              <w:t>9</w:t>
            </w:r>
            <w:r w:rsidR="00667CA5" w:rsidRPr="00936BCD">
              <w:rPr>
                <w:rFonts w:asciiTheme="majorHAnsi" w:hAnsiTheme="majorHAnsi" w:cs="Arial"/>
                <w:i/>
                <w:sz w:val="18"/>
                <w:szCs w:val="18"/>
              </w:rPr>
              <w:t>;2</w:t>
            </w:r>
            <w:r w:rsidR="005E2DEB" w:rsidRPr="00936BCD">
              <w:rPr>
                <w:rFonts w:asciiTheme="majorHAnsi" w:hAnsiTheme="majorHAnsi" w:cs="Arial"/>
                <w:i/>
                <w:sz w:val="18"/>
                <w:szCs w:val="18"/>
              </w:rPr>
              <w:t>1</w:t>
            </w:r>
            <w:r w:rsidR="00667CA5" w:rsidRPr="00936BCD">
              <w:rPr>
                <w:rFonts w:asciiTheme="majorHAnsi" w:hAnsiTheme="majorHAnsi" w:cs="Arial"/>
                <w:i/>
                <w:sz w:val="18"/>
                <w:szCs w:val="18"/>
              </w:rPr>
              <w:t>(</w:t>
            </w:r>
            <w:r w:rsidR="006A46E3">
              <w:rPr>
                <w:rFonts w:asciiTheme="majorHAnsi" w:hAnsiTheme="majorHAnsi" w:cs="Arial"/>
                <w:i/>
                <w:sz w:val="18"/>
                <w:szCs w:val="18"/>
              </w:rPr>
              <w:t>3</w:t>
            </w:r>
            <w:r w:rsidR="00667CA5" w:rsidRPr="00936BCD">
              <w:rPr>
                <w:rFonts w:asciiTheme="majorHAnsi" w:hAnsiTheme="majorHAnsi" w:cs="Arial"/>
                <w:i/>
                <w:sz w:val="18"/>
                <w:szCs w:val="18"/>
              </w:rPr>
              <w:t>):</w:t>
            </w:r>
            <w:r w:rsidR="00720572">
              <w:rPr>
                <w:rFonts w:asciiTheme="majorHAnsi" w:hAnsiTheme="majorHAnsi" w:cs="Arial"/>
                <w:i/>
                <w:sz w:val="18"/>
                <w:szCs w:val="18"/>
              </w:rPr>
              <w:t>226</w:t>
            </w:r>
            <w:r w:rsidR="004C4295" w:rsidRPr="00936BCD">
              <w:rPr>
                <w:rFonts w:asciiTheme="majorHAnsi" w:hAnsiTheme="majorHAnsi" w:cs="Arial"/>
                <w:i/>
                <w:sz w:val="18"/>
                <w:szCs w:val="18"/>
              </w:rPr>
              <w:t>-</w:t>
            </w:r>
            <w:r w:rsidR="00720572">
              <w:rPr>
                <w:rFonts w:asciiTheme="majorHAnsi" w:hAnsiTheme="majorHAnsi" w:cs="Arial"/>
                <w:i/>
                <w:sz w:val="18"/>
                <w:szCs w:val="18"/>
              </w:rPr>
              <w:t>234</w:t>
            </w:r>
            <w:r w:rsidR="004C4295" w:rsidRPr="00936BCD">
              <w:rPr>
                <w:rFonts w:asciiTheme="majorHAnsi" w:hAnsiTheme="majorHAnsi" w:cs="Arial"/>
                <w:i/>
                <w:sz w:val="18"/>
                <w:szCs w:val="18"/>
              </w:rPr>
              <w:t>.</w:t>
            </w:r>
            <w:r w:rsidR="00667CA5" w:rsidRPr="00936BCD">
              <w:rPr>
                <w:rFonts w:asciiTheme="majorHAnsi" w:hAnsiTheme="majorHAnsi" w:cs="Arial"/>
                <w:i/>
                <w:sz w:val="18"/>
                <w:szCs w:val="18"/>
              </w:rPr>
              <w:t xml:space="preserve"> </w:t>
            </w:r>
            <w:r w:rsidR="003D7BBC" w:rsidRPr="00936BCD">
              <w:rPr>
                <w:rFonts w:asciiTheme="majorHAnsi" w:hAnsiTheme="majorHAnsi"/>
                <w:i/>
                <w:sz w:val="18"/>
                <w:szCs w:val="18"/>
                <w:lang w:val="en-US"/>
              </w:rPr>
              <w:t xml:space="preserve">DOI: </w:t>
            </w:r>
            <w:r w:rsidR="001D41D5" w:rsidRPr="00936BCD">
              <w:rPr>
                <w:rFonts w:asciiTheme="majorHAnsi" w:hAnsiTheme="majorHAnsi"/>
                <w:i/>
                <w:sz w:val="18"/>
                <w:szCs w:val="18"/>
                <w:lang w:val="en-US"/>
              </w:rPr>
              <w:t>http://dx.doi.org/10.22267/rus.19210</w:t>
            </w:r>
            <w:r w:rsidR="006A46E3">
              <w:rPr>
                <w:rFonts w:asciiTheme="majorHAnsi" w:hAnsiTheme="majorHAnsi"/>
                <w:i/>
                <w:sz w:val="18"/>
                <w:szCs w:val="18"/>
                <w:lang w:val="en-US"/>
              </w:rPr>
              <w:t>3</w:t>
            </w:r>
            <w:r w:rsidR="00122094">
              <w:rPr>
                <w:rFonts w:asciiTheme="majorHAnsi" w:hAnsiTheme="majorHAnsi"/>
                <w:i/>
                <w:sz w:val="18"/>
                <w:szCs w:val="18"/>
                <w:lang w:val="en-US"/>
              </w:rPr>
              <w:t>.15</w:t>
            </w:r>
            <w:r w:rsidR="00726CAE">
              <w:rPr>
                <w:rFonts w:asciiTheme="majorHAnsi" w:hAnsiTheme="majorHAnsi"/>
                <w:i/>
                <w:sz w:val="18"/>
                <w:szCs w:val="18"/>
                <w:lang w:val="en-US"/>
              </w:rPr>
              <w:t>9</w:t>
            </w:r>
          </w:p>
        </w:tc>
      </w:tr>
    </w:tbl>
    <w:p w14:paraId="0EC709ED" w14:textId="77777777" w:rsidR="00177335" w:rsidRPr="00C400DE" w:rsidRDefault="00177335" w:rsidP="00FB2F0D">
      <w:pPr>
        <w:spacing w:after="0" w:line="240" w:lineRule="auto"/>
        <w:jc w:val="center"/>
        <w:rPr>
          <w:rFonts w:asciiTheme="majorHAnsi" w:eastAsia="Calibri" w:hAnsiTheme="majorHAnsi" w:cs="Times New Roman"/>
          <w:b/>
          <w:sz w:val="20"/>
          <w:szCs w:val="20"/>
        </w:rPr>
      </w:pPr>
    </w:p>
    <w:p w14:paraId="04D47888" w14:textId="5AC83F9A" w:rsidR="003F6A1B" w:rsidRPr="00D202BE" w:rsidRDefault="00F329B1" w:rsidP="004776B3">
      <w:pPr>
        <w:spacing w:after="0" w:line="360" w:lineRule="auto"/>
        <w:jc w:val="center"/>
        <w:rPr>
          <w:rFonts w:asciiTheme="majorHAnsi" w:eastAsia="Calibri" w:hAnsiTheme="majorHAnsi" w:cs="Times New Roman"/>
          <w:b/>
          <w:szCs w:val="20"/>
        </w:rPr>
      </w:pPr>
      <w:r w:rsidRPr="00D202BE">
        <w:rPr>
          <w:rFonts w:asciiTheme="majorHAnsi" w:eastAsia="Calibri" w:hAnsiTheme="majorHAnsi" w:cs="Times New Roman"/>
          <w:b/>
          <w:szCs w:val="20"/>
        </w:rPr>
        <w:t>Resumen</w:t>
      </w:r>
    </w:p>
    <w:p w14:paraId="6620AC0E" w14:textId="671A7860" w:rsidR="00625AF0" w:rsidRPr="00D202BE" w:rsidRDefault="00353E1C" w:rsidP="00D16971">
      <w:pPr>
        <w:autoSpaceDE w:val="0"/>
        <w:autoSpaceDN w:val="0"/>
        <w:adjustRightInd w:val="0"/>
        <w:spacing w:after="0" w:line="240" w:lineRule="auto"/>
        <w:jc w:val="both"/>
        <w:rPr>
          <w:rFonts w:ascii="Cambria" w:hAnsi="Cambria" w:cs="Arial"/>
          <w:sz w:val="20"/>
          <w:szCs w:val="20"/>
        </w:rPr>
      </w:pPr>
      <w:r w:rsidRPr="009925A2">
        <w:rPr>
          <w:rFonts w:ascii="Cambria" w:hAnsi="Cambria"/>
          <w:b/>
          <w:sz w:val="20"/>
          <w:szCs w:val="20"/>
        </w:rPr>
        <w:t>Introducción</w:t>
      </w:r>
      <w:r w:rsidR="00395BBB">
        <w:rPr>
          <w:rFonts w:ascii="Cambria" w:hAnsi="Cambria"/>
          <w:b/>
          <w:sz w:val="20"/>
          <w:szCs w:val="20"/>
        </w:rPr>
        <w:t xml:space="preserve">: </w:t>
      </w:r>
      <w:r w:rsidRPr="00395BBB">
        <w:rPr>
          <w:rFonts w:ascii="Cambria" w:hAnsi="Cambria"/>
          <w:sz w:val="20"/>
          <w:szCs w:val="20"/>
        </w:rPr>
        <w:t>L</w:t>
      </w:r>
      <w:r w:rsidRPr="009925A2">
        <w:rPr>
          <w:rFonts w:ascii="Cambria" w:hAnsi="Cambria"/>
          <w:sz w:val="20"/>
          <w:szCs w:val="20"/>
        </w:rPr>
        <w:t xml:space="preserve">a calidad de vida </w:t>
      </w:r>
      <w:r w:rsidRPr="009925A2">
        <w:rPr>
          <w:rFonts w:ascii="Cambria" w:eastAsia="Tahoma" w:hAnsi="Cambria" w:cs="Times New Roman"/>
          <w:sz w:val="20"/>
          <w:szCs w:val="20"/>
        </w:rPr>
        <w:t xml:space="preserve">relacionada con salud (CVRS) en la </w:t>
      </w:r>
      <w:r w:rsidRPr="009925A2">
        <w:rPr>
          <w:rFonts w:ascii="Cambria" w:hAnsi="Cambria"/>
          <w:sz w:val="20"/>
          <w:szCs w:val="20"/>
        </w:rPr>
        <w:t xml:space="preserve">esclerosis múltiple (EM), </w:t>
      </w:r>
      <w:r w:rsidRPr="009925A2">
        <w:rPr>
          <w:rFonts w:ascii="Cambria" w:eastAsia="Tahoma" w:hAnsi="Cambria" w:cs="Times New Roman"/>
          <w:sz w:val="20"/>
          <w:szCs w:val="20"/>
        </w:rPr>
        <w:t>puede verse afectada por factores físicos, clínicos y sociodemográficos.</w:t>
      </w:r>
      <w:r w:rsidRPr="009925A2">
        <w:rPr>
          <w:rFonts w:ascii="Cambria" w:hAnsi="Cambria"/>
          <w:sz w:val="20"/>
          <w:szCs w:val="20"/>
        </w:rPr>
        <w:t xml:space="preserve"> </w:t>
      </w:r>
      <w:r w:rsidRPr="009925A2">
        <w:rPr>
          <w:rFonts w:ascii="Cambria" w:hAnsi="Cambria"/>
          <w:b/>
          <w:sz w:val="20"/>
          <w:szCs w:val="20"/>
        </w:rPr>
        <w:t>Objetivo</w:t>
      </w:r>
      <w:r w:rsidR="00395BBB">
        <w:rPr>
          <w:rFonts w:ascii="Cambria" w:hAnsi="Cambria"/>
          <w:b/>
          <w:sz w:val="20"/>
          <w:szCs w:val="20"/>
        </w:rPr>
        <w:t>:</w:t>
      </w:r>
      <w:r w:rsidRPr="009925A2">
        <w:rPr>
          <w:rFonts w:ascii="Cambria" w:hAnsi="Cambria"/>
          <w:b/>
          <w:sz w:val="20"/>
          <w:szCs w:val="20"/>
        </w:rPr>
        <w:t xml:space="preserve"> </w:t>
      </w:r>
      <w:r w:rsidRPr="009925A2">
        <w:rPr>
          <w:rFonts w:ascii="Cambria" w:hAnsi="Cambria"/>
          <w:sz w:val="20"/>
          <w:szCs w:val="20"/>
        </w:rPr>
        <w:t xml:space="preserve">Determinar </w:t>
      </w:r>
      <w:r w:rsidR="00245127">
        <w:rPr>
          <w:rFonts w:ascii="Cambria" w:hAnsi="Cambria"/>
          <w:sz w:val="20"/>
          <w:szCs w:val="20"/>
        </w:rPr>
        <w:t xml:space="preserve">el </w:t>
      </w:r>
      <w:r w:rsidRPr="009925A2">
        <w:rPr>
          <w:rFonts w:ascii="Cambria" w:eastAsia="Tahoma" w:hAnsi="Cambria" w:cs="Times New Roman"/>
          <w:sz w:val="20"/>
          <w:szCs w:val="20"/>
        </w:rPr>
        <w:t xml:space="preserve">efecto de factores sociodemográficos, clínicos y físicos en </w:t>
      </w:r>
      <w:r w:rsidR="00395BBB">
        <w:rPr>
          <w:rFonts w:ascii="Cambria" w:eastAsia="Tahoma" w:hAnsi="Cambria" w:cs="Times New Roman"/>
          <w:sz w:val="20"/>
          <w:szCs w:val="20"/>
        </w:rPr>
        <w:t xml:space="preserve">la </w:t>
      </w:r>
      <w:r w:rsidRPr="009925A2">
        <w:rPr>
          <w:rFonts w:ascii="Cambria" w:hAnsi="Cambria"/>
          <w:sz w:val="20"/>
          <w:szCs w:val="20"/>
        </w:rPr>
        <w:t xml:space="preserve">calidad de vida (CV) de pacientes </w:t>
      </w:r>
      <w:r w:rsidRPr="009925A2">
        <w:rPr>
          <w:rFonts w:ascii="Cambria" w:eastAsia="Tahoma" w:hAnsi="Cambria" w:cs="Times New Roman"/>
          <w:sz w:val="20"/>
          <w:szCs w:val="20"/>
        </w:rPr>
        <w:t xml:space="preserve">con EM.  </w:t>
      </w:r>
      <w:r w:rsidRPr="009925A2">
        <w:rPr>
          <w:rFonts w:ascii="Cambria" w:hAnsi="Cambria"/>
          <w:b/>
          <w:sz w:val="20"/>
          <w:szCs w:val="20"/>
        </w:rPr>
        <w:t>M</w:t>
      </w:r>
      <w:r w:rsidR="00C400DE">
        <w:rPr>
          <w:rFonts w:ascii="Cambria" w:hAnsi="Cambria"/>
          <w:b/>
          <w:sz w:val="20"/>
          <w:szCs w:val="20"/>
        </w:rPr>
        <w:t>ateriales y m</w:t>
      </w:r>
      <w:r w:rsidRPr="009925A2">
        <w:rPr>
          <w:rFonts w:ascii="Cambria" w:hAnsi="Cambria"/>
          <w:b/>
          <w:sz w:val="20"/>
          <w:szCs w:val="20"/>
        </w:rPr>
        <w:t>étodos</w:t>
      </w:r>
      <w:r w:rsidR="00395BBB">
        <w:rPr>
          <w:rFonts w:ascii="Cambria" w:hAnsi="Cambria"/>
          <w:b/>
          <w:sz w:val="20"/>
          <w:szCs w:val="20"/>
        </w:rPr>
        <w:t>:</w:t>
      </w:r>
      <w:r w:rsidRPr="009925A2">
        <w:rPr>
          <w:rFonts w:ascii="Cambria" w:hAnsi="Cambria"/>
          <w:sz w:val="20"/>
          <w:szCs w:val="20"/>
          <w:lang w:val="es-ES_tradnl"/>
        </w:rPr>
        <w:t xml:space="preserve"> </w:t>
      </w:r>
      <w:r w:rsidRPr="009925A2">
        <w:rPr>
          <w:rFonts w:ascii="Cambria" w:hAnsi="Cambria"/>
          <w:sz w:val="20"/>
          <w:szCs w:val="20"/>
        </w:rPr>
        <w:t>Se aplicó el instrumento WHOQOL-BREF de la OMS</w:t>
      </w:r>
      <w:r w:rsidR="00395BBB">
        <w:rPr>
          <w:rFonts w:ascii="Cambria" w:hAnsi="Cambria"/>
          <w:sz w:val="20"/>
          <w:szCs w:val="20"/>
        </w:rPr>
        <w:t xml:space="preserve"> a 173 pacientes de una institución de salud</w:t>
      </w:r>
      <w:r w:rsidRPr="009925A2">
        <w:rPr>
          <w:rFonts w:ascii="Cambria" w:hAnsi="Cambria"/>
          <w:sz w:val="20"/>
          <w:szCs w:val="20"/>
        </w:rPr>
        <w:t>. Se realizó análisis descriptivo de características sociod</w:t>
      </w:r>
      <w:r w:rsidR="00395BBB">
        <w:rPr>
          <w:rFonts w:ascii="Cambria" w:hAnsi="Cambria"/>
          <w:sz w:val="20"/>
          <w:szCs w:val="20"/>
        </w:rPr>
        <w:t>emográficas, clínicas y físicas</w:t>
      </w:r>
      <w:r w:rsidRPr="009925A2">
        <w:rPr>
          <w:rFonts w:ascii="Cambria" w:hAnsi="Cambria"/>
          <w:sz w:val="20"/>
          <w:szCs w:val="20"/>
        </w:rPr>
        <w:t xml:space="preserve"> y sus puntajes de CV. Se observó la asociación entre CV global con factores sociodemográficos, clínicos y físicos; finalmente, por medio de análisis multivariado. </w:t>
      </w:r>
      <w:r w:rsidRPr="009925A2">
        <w:rPr>
          <w:rFonts w:ascii="Cambria" w:hAnsi="Cambria"/>
          <w:b/>
          <w:sz w:val="20"/>
          <w:szCs w:val="20"/>
        </w:rPr>
        <w:t>Resultados</w:t>
      </w:r>
      <w:r w:rsidR="00395BBB">
        <w:rPr>
          <w:rFonts w:ascii="Cambria" w:hAnsi="Cambria"/>
          <w:b/>
          <w:sz w:val="20"/>
          <w:szCs w:val="20"/>
        </w:rPr>
        <w:t xml:space="preserve">: </w:t>
      </w:r>
      <w:r w:rsidR="00395BBB">
        <w:rPr>
          <w:rFonts w:ascii="Cambria" w:eastAsia="Tahoma" w:hAnsi="Cambria"/>
          <w:sz w:val="20"/>
          <w:szCs w:val="20"/>
        </w:rPr>
        <w:t>E</w:t>
      </w:r>
      <w:r w:rsidRPr="009925A2">
        <w:rPr>
          <w:rFonts w:ascii="Cambria" w:eastAsia="Tahoma" w:hAnsi="Cambria"/>
          <w:sz w:val="20"/>
          <w:szCs w:val="20"/>
        </w:rPr>
        <w:t xml:space="preserve">l </w:t>
      </w:r>
      <w:r w:rsidRPr="009925A2">
        <w:rPr>
          <w:rFonts w:ascii="Cambria" w:hAnsi="Cambria"/>
          <w:sz w:val="20"/>
          <w:szCs w:val="20"/>
        </w:rPr>
        <w:t xml:space="preserve">80,3% </w:t>
      </w:r>
      <w:r w:rsidR="00395BBB">
        <w:rPr>
          <w:rFonts w:ascii="Cambria" w:hAnsi="Cambria"/>
          <w:sz w:val="20"/>
          <w:szCs w:val="20"/>
        </w:rPr>
        <w:t xml:space="preserve">fueron </w:t>
      </w:r>
      <w:r w:rsidRPr="009925A2">
        <w:rPr>
          <w:rFonts w:ascii="Cambria" w:hAnsi="Cambria"/>
          <w:sz w:val="20"/>
          <w:szCs w:val="20"/>
        </w:rPr>
        <w:t xml:space="preserve">mujeres, la mediana de edad </w:t>
      </w:r>
      <w:r w:rsidR="00395BBB">
        <w:rPr>
          <w:rFonts w:ascii="Cambria" w:hAnsi="Cambria"/>
          <w:sz w:val="20"/>
          <w:szCs w:val="20"/>
        </w:rPr>
        <w:t xml:space="preserve">de </w:t>
      </w:r>
      <w:r w:rsidRPr="009925A2">
        <w:rPr>
          <w:rFonts w:ascii="Cambria" w:hAnsi="Cambria"/>
          <w:sz w:val="20"/>
          <w:szCs w:val="20"/>
        </w:rPr>
        <w:t xml:space="preserve">43 años (RIC= 51-35). La fatiga fue </w:t>
      </w:r>
      <w:r w:rsidRPr="009925A2">
        <w:rPr>
          <w:rFonts w:ascii="Cambria" w:eastAsia="Tahoma" w:hAnsi="Cambria"/>
          <w:sz w:val="20"/>
          <w:szCs w:val="20"/>
        </w:rPr>
        <w:t xml:space="preserve">el síntoma </w:t>
      </w:r>
      <w:r w:rsidRPr="009925A2">
        <w:rPr>
          <w:rFonts w:ascii="Cambria" w:hAnsi="Cambria"/>
          <w:sz w:val="20"/>
          <w:szCs w:val="20"/>
        </w:rPr>
        <w:t xml:space="preserve">más frecuente </w:t>
      </w:r>
      <w:r w:rsidRPr="009925A2">
        <w:rPr>
          <w:rFonts w:ascii="Cambria" w:eastAsia="Tahoma" w:hAnsi="Cambria"/>
          <w:sz w:val="20"/>
          <w:szCs w:val="20"/>
        </w:rPr>
        <w:t>((</w:t>
      </w:r>
      <w:r w:rsidRPr="009925A2">
        <w:rPr>
          <w:rFonts w:ascii="Cambria" w:hAnsi="Cambria"/>
          <w:sz w:val="20"/>
          <w:szCs w:val="20"/>
        </w:rPr>
        <w:t>71%). Los factores de riesgo para tener peor CV fueron: sexo femenino (RP=6,92. IC 95% 1,8-26,58), alteración en control de esfínteres (RP= 6,10 IC 95% 1,26-29,51), trastornos cognitivos (RP=4,</w:t>
      </w:r>
      <w:r w:rsidRPr="009925A2">
        <w:rPr>
          <w:rFonts w:ascii="Cambria" w:eastAsia="Tahoma" w:hAnsi="Cambria"/>
          <w:sz w:val="20"/>
          <w:szCs w:val="20"/>
        </w:rPr>
        <w:t>46</w:t>
      </w:r>
      <w:r w:rsidRPr="009925A2">
        <w:rPr>
          <w:rFonts w:ascii="Cambria" w:hAnsi="Cambria"/>
          <w:sz w:val="20"/>
          <w:szCs w:val="20"/>
        </w:rPr>
        <w:t xml:space="preserve"> IC 95% 1,07-18,56), riesgo de depresión (RP= 3,82 IC 95% 1,01-14,38) y no realizar fisioterapia (RP= 4,48 IC 95% 1,08-18,34). </w:t>
      </w:r>
      <w:r w:rsidRPr="009925A2">
        <w:rPr>
          <w:rFonts w:ascii="Cambria" w:hAnsi="Cambria"/>
          <w:b/>
          <w:sz w:val="20"/>
          <w:szCs w:val="20"/>
        </w:rPr>
        <w:t>Conclusiones</w:t>
      </w:r>
      <w:r w:rsidR="00395BBB">
        <w:rPr>
          <w:rFonts w:ascii="Cambria" w:hAnsi="Cambria"/>
          <w:b/>
          <w:sz w:val="20"/>
          <w:szCs w:val="20"/>
        </w:rPr>
        <w:t>:</w:t>
      </w:r>
      <w:r w:rsidRPr="009925A2">
        <w:rPr>
          <w:rFonts w:ascii="Cambria" w:hAnsi="Cambria"/>
          <w:b/>
          <w:sz w:val="20"/>
          <w:szCs w:val="20"/>
        </w:rPr>
        <w:t xml:space="preserve"> </w:t>
      </w:r>
      <w:r w:rsidRPr="009925A2">
        <w:rPr>
          <w:rFonts w:ascii="Cambria" w:hAnsi="Cambria"/>
          <w:sz w:val="20"/>
          <w:szCs w:val="20"/>
        </w:rPr>
        <w:t>La</w:t>
      </w:r>
      <w:r w:rsidRPr="009925A2">
        <w:rPr>
          <w:rFonts w:ascii="Cambria" w:hAnsi="Cambria"/>
          <w:sz w:val="20"/>
          <w:szCs w:val="20"/>
          <w:shd w:val="clear" w:color="auto" w:fill="FFFFFF"/>
        </w:rPr>
        <w:t xml:space="preserve"> afectación de </w:t>
      </w:r>
      <w:r w:rsidRPr="009925A2">
        <w:rPr>
          <w:rFonts w:ascii="Cambria" w:hAnsi="Cambria" w:cs="Times New Roman"/>
          <w:sz w:val="20"/>
          <w:szCs w:val="20"/>
        </w:rPr>
        <w:t>CV en la EM,</w:t>
      </w:r>
      <w:r w:rsidRPr="009925A2" w:rsidDel="00537975">
        <w:rPr>
          <w:rFonts w:ascii="Cambria" w:hAnsi="Cambria"/>
          <w:sz w:val="20"/>
          <w:szCs w:val="20"/>
          <w:shd w:val="clear" w:color="auto" w:fill="FFFFFF"/>
        </w:rPr>
        <w:t xml:space="preserve"> </w:t>
      </w:r>
      <w:r w:rsidRPr="009925A2">
        <w:rPr>
          <w:rFonts w:ascii="Cambria" w:hAnsi="Cambria"/>
          <w:sz w:val="20"/>
          <w:szCs w:val="20"/>
          <w:shd w:val="clear" w:color="auto" w:fill="FFFFFF"/>
        </w:rPr>
        <w:t>según factores sociodemográficos y clínicos es variable. Evaluar la CVRS en la práctica clínica, permite entender el comportamiento y necesidades de</w:t>
      </w:r>
      <w:r w:rsidR="00395BBB">
        <w:rPr>
          <w:rFonts w:ascii="Cambria" w:hAnsi="Cambria"/>
          <w:sz w:val="20"/>
          <w:szCs w:val="20"/>
          <w:shd w:val="clear" w:color="auto" w:fill="FFFFFF"/>
        </w:rPr>
        <w:t>l paciente para</w:t>
      </w:r>
      <w:r w:rsidRPr="009925A2">
        <w:rPr>
          <w:rFonts w:ascii="Cambria" w:hAnsi="Cambria"/>
          <w:sz w:val="20"/>
          <w:szCs w:val="20"/>
          <w:shd w:val="clear" w:color="auto" w:fill="FFFFFF"/>
        </w:rPr>
        <w:t xml:space="preserve"> </w:t>
      </w:r>
      <w:r w:rsidR="00395BBB" w:rsidRPr="009925A2">
        <w:rPr>
          <w:rFonts w:ascii="Cambria" w:hAnsi="Cambria"/>
          <w:sz w:val="20"/>
          <w:szCs w:val="20"/>
          <w:shd w:val="clear" w:color="auto" w:fill="FFFFFF"/>
        </w:rPr>
        <w:t>intervenir factores de riesgo</w:t>
      </w:r>
      <w:r w:rsidR="00395BBB">
        <w:rPr>
          <w:rFonts w:ascii="Cambria" w:hAnsi="Cambria"/>
          <w:sz w:val="20"/>
          <w:szCs w:val="20"/>
          <w:shd w:val="clear" w:color="auto" w:fill="FFFFFF"/>
        </w:rPr>
        <w:t>.</w:t>
      </w:r>
    </w:p>
    <w:p w14:paraId="0E758D33" w14:textId="77777777" w:rsidR="00DC3D24" w:rsidRPr="004A647B" w:rsidRDefault="00DC3D24" w:rsidP="00E461DB">
      <w:pPr>
        <w:autoSpaceDE w:val="0"/>
        <w:autoSpaceDN w:val="0"/>
        <w:adjustRightInd w:val="0"/>
        <w:spacing w:after="0" w:line="240" w:lineRule="auto"/>
        <w:jc w:val="both"/>
        <w:rPr>
          <w:rFonts w:asciiTheme="majorHAnsi" w:hAnsiTheme="majorHAnsi" w:cs="Times New Roman"/>
          <w:sz w:val="18"/>
          <w:szCs w:val="18"/>
        </w:rPr>
      </w:pPr>
    </w:p>
    <w:p w14:paraId="4EB69785" w14:textId="0842D9BA" w:rsidR="003F6A1B" w:rsidRPr="00D202BE" w:rsidRDefault="003F6A1B" w:rsidP="00E461DB">
      <w:pPr>
        <w:autoSpaceDE w:val="0"/>
        <w:autoSpaceDN w:val="0"/>
        <w:adjustRightInd w:val="0"/>
        <w:spacing w:after="0" w:line="240" w:lineRule="auto"/>
        <w:jc w:val="both"/>
        <w:rPr>
          <w:rFonts w:asciiTheme="majorHAnsi" w:hAnsiTheme="majorHAnsi" w:cs="Times New Roman"/>
          <w:sz w:val="20"/>
          <w:szCs w:val="18"/>
          <w:lang w:val="en-029"/>
        </w:rPr>
      </w:pPr>
      <w:r w:rsidRPr="00D202BE">
        <w:rPr>
          <w:rFonts w:asciiTheme="majorHAnsi" w:hAnsiTheme="majorHAnsi" w:cs="Times New Roman"/>
          <w:b/>
          <w:sz w:val="20"/>
          <w:szCs w:val="18"/>
        </w:rPr>
        <w:t xml:space="preserve">Palabras </w:t>
      </w:r>
      <w:r w:rsidR="00072A7E" w:rsidRPr="00D202BE">
        <w:rPr>
          <w:rFonts w:asciiTheme="majorHAnsi" w:hAnsiTheme="majorHAnsi" w:cs="Times New Roman"/>
          <w:b/>
          <w:sz w:val="20"/>
          <w:szCs w:val="18"/>
        </w:rPr>
        <w:t>c</w:t>
      </w:r>
      <w:r w:rsidRPr="00D202BE">
        <w:rPr>
          <w:rFonts w:asciiTheme="majorHAnsi" w:hAnsiTheme="majorHAnsi" w:cs="Times New Roman"/>
          <w:b/>
          <w:sz w:val="20"/>
          <w:szCs w:val="18"/>
        </w:rPr>
        <w:t>lave</w:t>
      </w:r>
      <w:r w:rsidR="006742BB" w:rsidRPr="00D202BE">
        <w:rPr>
          <w:rFonts w:asciiTheme="majorHAnsi" w:hAnsiTheme="majorHAnsi" w:cs="Times New Roman"/>
          <w:sz w:val="20"/>
          <w:szCs w:val="18"/>
        </w:rPr>
        <w:t xml:space="preserve">: </w:t>
      </w:r>
      <w:r w:rsidR="00681CFA" w:rsidRPr="009925A2">
        <w:rPr>
          <w:rFonts w:ascii="Cambria" w:hAnsi="Cambria"/>
          <w:sz w:val="20"/>
          <w:szCs w:val="20"/>
        </w:rPr>
        <w:t xml:space="preserve">Esclerosis </w:t>
      </w:r>
      <w:r w:rsidR="00BE0A84">
        <w:rPr>
          <w:rFonts w:ascii="Cambria" w:hAnsi="Cambria"/>
          <w:sz w:val="20"/>
          <w:szCs w:val="20"/>
        </w:rPr>
        <w:t xml:space="preserve">múltiple; </w:t>
      </w:r>
      <w:r w:rsidR="003F56EE">
        <w:rPr>
          <w:rFonts w:ascii="Cambria" w:hAnsi="Cambria"/>
          <w:sz w:val="20"/>
          <w:szCs w:val="20"/>
        </w:rPr>
        <w:t>c</w:t>
      </w:r>
      <w:r w:rsidR="00E72B22" w:rsidRPr="00F3015D">
        <w:rPr>
          <w:rFonts w:ascii="Cambria" w:hAnsi="Cambria"/>
          <w:sz w:val="20"/>
          <w:szCs w:val="20"/>
        </w:rPr>
        <w:t xml:space="preserve">alidad de </w:t>
      </w:r>
      <w:r w:rsidR="003F56EE">
        <w:rPr>
          <w:rFonts w:ascii="Cambria" w:hAnsi="Cambria"/>
          <w:sz w:val="20"/>
          <w:szCs w:val="20"/>
        </w:rPr>
        <w:t>v</w:t>
      </w:r>
      <w:r w:rsidR="00E72B22" w:rsidRPr="00F3015D">
        <w:rPr>
          <w:rFonts w:ascii="Cambria" w:hAnsi="Cambria"/>
          <w:sz w:val="20"/>
          <w:szCs w:val="20"/>
        </w:rPr>
        <w:t xml:space="preserve">ida </w:t>
      </w:r>
      <w:r w:rsidR="003F56EE">
        <w:rPr>
          <w:rFonts w:ascii="Cambria" w:hAnsi="Cambria"/>
          <w:sz w:val="20"/>
          <w:szCs w:val="20"/>
        </w:rPr>
        <w:t>r</w:t>
      </w:r>
      <w:r w:rsidR="00E72B22" w:rsidRPr="00F3015D">
        <w:rPr>
          <w:rFonts w:ascii="Cambria" w:hAnsi="Cambria"/>
          <w:sz w:val="20"/>
          <w:szCs w:val="20"/>
        </w:rPr>
        <w:t xml:space="preserve">elacionada con la </w:t>
      </w:r>
      <w:r w:rsidR="003F56EE">
        <w:rPr>
          <w:rFonts w:ascii="Cambria" w:hAnsi="Cambria"/>
          <w:sz w:val="20"/>
          <w:szCs w:val="20"/>
        </w:rPr>
        <w:t>s</w:t>
      </w:r>
      <w:r w:rsidR="00E72B22" w:rsidRPr="00F3015D">
        <w:rPr>
          <w:rFonts w:ascii="Cambria" w:hAnsi="Cambria"/>
          <w:sz w:val="20"/>
          <w:szCs w:val="20"/>
        </w:rPr>
        <w:t>alud</w:t>
      </w:r>
      <w:r w:rsidR="00E72B22">
        <w:rPr>
          <w:rFonts w:ascii="Cambria" w:hAnsi="Cambria"/>
          <w:sz w:val="20"/>
          <w:szCs w:val="20"/>
        </w:rPr>
        <w:t xml:space="preserve">; </w:t>
      </w:r>
      <w:r w:rsidR="00BE0A84">
        <w:rPr>
          <w:rFonts w:ascii="Cambria" w:hAnsi="Cambria"/>
          <w:sz w:val="20"/>
          <w:szCs w:val="20"/>
        </w:rPr>
        <w:t>personas con discapacidad;</w:t>
      </w:r>
      <w:r w:rsidR="00BE0A84" w:rsidRPr="009925A2">
        <w:rPr>
          <w:rFonts w:ascii="Cambria" w:hAnsi="Cambria"/>
          <w:sz w:val="20"/>
          <w:szCs w:val="20"/>
        </w:rPr>
        <w:t xml:space="preserve"> actividades de la vida diaria</w:t>
      </w:r>
      <w:r w:rsidR="00BE0A84">
        <w:rPr>
          <w:rFonts w:ascii="Cambria" w:hAnsi="Cambria"/>
          <w:sz w:val="20"/>
          <w:szCs w:val="20"/>
        </w:rPr>
        <w:t>;</w:t>
      </w:r>
      <w:r w:rsidR="00BE0A84" w:rsidRPr="009925A2">
        <w:rPr>
          <w:rFonts w:ascii="Cambria" w:hAnsi="Cambria"/>
          <w:sz w:val="20"/>
          <w:szCs w:val="20"/>
        </w:rPr>
        <w:t xml:space="preserve"> factores </w:t>
      </w:r>
      <w:r w:rsidR="00BE0A84">
        <w:rPr>
          <w:rFonts w:ascii="Cambria" w:hAnsi="Cambria"/>
          <w:sz w:val="20"/>
          <w:szCs w:val="20"/>
        </w:rPr>
        <w:t>de riesgo</w:t>
      </w:r>
      <w:r w:rsidR="00240AC3">
        <w:rPr>
          <w:rFonts w:ascii="Cambria" w:hAnsi="Cambria"/>
          <w:sz w:val="20"/>
          <w:szCs w:val="20"/>
        </w:rPr>
        <w:t>.</w:t>
      </w:r>
      <w:r w:rsidR="00F04008">
        <w:rPr>
          <w:rFonts w:ascii="Cambria" w:hAnsi="Cambria"/>
          <w:sz w:val="20"/>
          <w:szCs w:val="20"/>
          <w:lang w:val="en-US"/>
        </w:rPr>
        <w:t xml:space="preserve"> </w:t>
      </w:r>
      <w:r w:rsidR="002F3F4C" w:rsidRPr="00D202BE">
        <w:rPr>
          <w:rFonts w:asciiTheme="majorHAnsi" w:hAnsiTheme="majorHAnsi" w:cs="Times New Roman"/>
          <w:sz w:val="20"/>
          <w:szCs w:val="18"/>
          <w:lang w:val="en-029"/>
        </w:rPr>
        <w:t>(Fuente: DeCS, Bireme)</w:t>
      </w:r>
    </w:p>
    <w:p w14:paraId="4DDFB9C9" w14:textId="77777777" w:rsidR="00422155" w:rsidRPr="00C400DE" w:rsidRDefault="00422155" w:rsidP="00D16971">
      <w:pPr>
        <w:tabs>
          <w:tab w:val="center" w:pos="4419"/>
          <w:tab w:val="left" w:pos="5272"/>
        </w:tabs>
        <w:spacing w:after="0" w:line="240" w:lineRule="auto"/>
        <w:jc w:val="center"/>
        <w:rPr>
          <w:rFonts w:asciiTheme="majorHAnsi" w:eastAsia="Calibri" w:hAnsiTheme="majorHAnsi" w:cs="Times New Roman"/>
          <w:b/>
          <w:sz w:val="20"/>
          <w:szCs w:val="20"/>
          <w:lang w:val="en-US"/>
        </w:rPr>
      </w:pPr>
    </w:p>
    <w:p w14:paraId="1AE72026" w14:textId="77777777" w:rsidR="007E4A44" w:rsidRPr="00D202BE" w:rsidRDefault="00F329B1" w:rsidP="004776B3">
      <w:pPr>
        <w:tabs>
          <w:tab w:val="center" w:pos="4419"/>
          <w:tab w:val="left" w:pos="5272"/>
        </w:tabs>
        <w:spacing w:after="0" w:line="360" w:lineRule="auto"/>
        <w:jc w:val="center"/>
        <w:rPr>
          <w:rFonts w:asciiTheme="majorHAnsi" w:eastAsia="Calibri" w:hAnsiTheme="majorHAnsi" w:cs="Times New Roman"/>
          <w:b/>
          <w:szCs w:val="20"/>
          <w:lang w:val="en-029"/>
        </w:rPr>
      </w:pPr>
      <w:r w:rsidRPr="00D202BE">
        <w:rPr>
          <w:rFonts w:asciiTheme="majorHAnsi" w:eastAsia="Calibri" w:hAnsiTheme="majorHAnsi" w:cs="Times New Roman"/>
          <w:b/>
          <w:szCs w:val="20"/>
          <w:lang w:val="en-US"/>
        </w:rPr>
        <w:t>Abstract</w:t>
      </w:r>
    </w:p>
    <w:p w14:paraId="2FC91A43" w14:textId="08B64503" w:rsidR="008F2A20" w:rsidRPr="00D202BE" w:rsidRDefault="003E1805" w:rsidP="00D16971">
      <w:pPr>
        <w:spacing w:after="0" w:line="240" w:lineRule="auto"/>
        <w:jc w:val="both"/>
        <w:rPr>
          <w:rFonts w:asciiTheme="majorHAnsi" w:hAnsiTheme="majorHAnsi" w:cs="Times New Roman"/>
          <w:sz w:val="20"/>
          <w:szCs w:val="18"/>
          <w:lang w:val="en-US"/>
        </w:rPr>
      </w:pPr>
      <w:r w:rsidRPr="003E1805">
        <w:rPr>
          <w:rFonts w:ascii="Cambria" w:eastAsia="Tahoma" w:hAnsi="Cambria"/>
          <w:b/>
          <w:sz w:val="20"/>
          <w:szCs w:val="20"/>
          <w:lang w:val="en-US"/>
        </w:rPr>
        <w:t>Introduction</w:t>
      </w:r>
      <w:r>
        <w:rPr>
          <w:rFonts w:ascii="Cambria" w:eastAsia="Tahoma" w:hAnsi="Cambria"/>
          <w:b/>
          <w:sz w:val="20"/>
          <w:szCs w:val="20"/>
          <w:lang w:val="en-US"/>
        </w:rPr>
        <w:t>:</w:t>
      </w:r>
      <w:r w:rsidR="00353E1C" w:rsidRPr="009925A2">
        <w:rPr>
          <w:rFonts w:ascii="Cambria" w:eastAsia="Tahoma" w:hAnsi="Cambria"/>
          <w:b/>
          <w:sz w:val="20"/>
          <w:szCs w:val="20"/>
          <w:lang w:val="en-US"/>
        </w:rPr>
        <w:t xml:space="preserve"> </w:t>
      </w:r>
      <w:r w:rsidRPr="003E1805">
        <w:rPr>
          <w:rFonts w:ascii="Cambria" w:hAnsi="Cambria"/>
          <w:sz w:val="20"/>
          <w:szCs w:val="20"/>
          <w:lang w:val="en"/>
        </w:rPr>
        <w:t xml:space="preserve">Health-related quality of life (HRQL) in multiple sclerosis (MS) patients can be affected by physical, clinical and sociodemographic factors. </w:t>
      </w:r>
      <w:r w:rsidRPr="003E1805">
        <w:rPr>
          <w:rFonts w:ascii="Cambria" w:hAnsi="Cambria"/>
          <w:b/>
          <w:sz w:val="20"/>
          <w:szCs w:val="20"/>
          <w:lang w:val="en"/>
        </w:rPr>
        <w:t>Objective:</w:t>
      </w:r>
      <w:r w:rsidRPr="003E1805">
        <w:rPr>
          <w:rFonts w:ascii="Cambria" w:hAnsi="Cambria"/>
          <w:sz w:val="20"/>
          <w:szCs w:val="20"/>
          <w:lang w:val="en"/>
        </w:rPr>
        <w:t xml:space="preserve"> To determine the effect of sociodemographic, clinical and physical factors on the quality of life (QL) of patients with MS. </w:t>
      </w:r>
      <w:r w:rsidRPr="003E1805">
        <w:rPr>
          <w:rFonts w:ascii="Cambria" w:hAnsi="Cambria"/>
          <w:b/>
          <w:sz w:val="20"/>
          <w:szCs w:val="20"/>
          <w:lang w:val="en"/>
        </w:rPr>
        <w:t>Material</w:t>
      </w:r>
      <w:r>
        <w:rPr>
          <w:rFonts w:ascii="Cambria" w:hAnsi="Cambria"/>
          <w:b/>
          <w:sz w:val="20"/>
          <w:szCs w:val="20"/>
          <w:lang w:val="en"/>
        </w:rPr>
        <w:t>s</w:t>
      </w:r>
      <w:r w:rsidRPr="003E1805">
        <w:rPr>
          <w:rFonts w:ascii="Cambria" w:hAnsi="Cambria"/>
          <w:b/>
          <w:sz w:val="20"/>
          <w:szCs w:val="20"/>
          <w:lang w:val="en"/>
        </w:rPr>
        <w:t xml:space="preserve"> and methods:</w:t>
      </w:r>
      <w:r w:rsidRPr="003E1805">
        <w:rPr>
          <w:rFonts w:ascii="Cambria" w:hAnsi="Cambria"/>
          <w:sz w:val="20"/>
          <w:szCs w:val="20"/>
          <w:lang w:val="en"/>
        </w:rPr>
        <w:t xml:space="preserve"> The WHO WHOQOL-BREF instrument was applied to 173 patients of a health institution. Descriptive analysis of sociodemographic, clinical and physical characteristics and their QL scores were performed. The association between global QL with sociodemographic, clinical and physical factors was observed; finally, through multivariate analysis. </w:t>
      </w:r>
      <w:r w:rsidRPr="003E1805">
        <w:rPr>
          <w:rFonts w:ascii="Cambria" w:hAnsi="Cambria"/>
          <w:b/>
          <w:sz w:val="20"/>
          <w:szCs w:val="20"/>
          <w:lang w:val="en"/>
        </w:rPr>
        <w:t>Results:</w:t>
      </w:r>
      <w:r w:rsidRPr="003E1805">
        <w:rPr>
          <w:rFonts w:ascii="Cambria" w:hAnsi="Cambria"/>
          <w:sz w:val="20"/>
          <w:szCs w:val="20"/>
          <w:lang w:val="en"/>
        </w:rPr>
        <w:t xml:space="preserve"> 80.3% were women, the median age was 43 years (IQR = 51-35). Fatigue was the most frequent symptom (71%). The risk factors for worse QL were: female sex (RP = 6.92. 95% CI 1.8-26.58), abnormal sphincter control (RP = 6.10 95% CI 1.26-29.51), cognitive disorders (RP = 4.46 95% CI 1.07-18.56), risk of depression (RP = 3.82 95% CI 1</w:t>
      </w:r>
      <w:r w:rsidR="00B81636">
        <w:rPr>
          <w:rFonts w:ascii="Cambria" w:hAnsi="Cambria"/>
          <w:sz w:val="20"/>
          <w:szCs w:val="20"/>
          <w:lang w:val="en"/>
        </w:rPr>
        <w:t>.</w:t>
      </w:r>
      <w:r w:rsidRPr="003E1805">
        <w:rPr>
          <w:rFonts w:ascii="Cambria" w:hAnsi="Cambria"/>
          <w:sz w:val="20"/>
          <w:szCs w:val="20"/>
          <w:lang w:val="en"/>
        </w:rPr>
        <w:t>01-14</w:t>
      </w:r>
      <w:r w:rsidR="00B81636">
        <w:rPr>
          <w:rFonts w:ascii="Cambria" w:hAnsi="Cambria"/>
          <w:sz w:val="20"/>
          <w:szCs w:val="20"/>
          <w:lang w:val="en"/>
        </w:rPr>
        <w:t>.</w:t>
      </w:r>
      <w:r w:rsidRPr="003E1805">
        <w:rPr>
          <w:rFonts w:ascii="Cambria" w:hAnsi="Cambria"/>
          <w:sz w:val="20"/>
          <w:szCs w:val="20"/>
          <w:lang w:val="en"/>
        </w:rPr>
        <w:t xml:space="preserve">38) and lack of physiotherapy (RP = 4.48 95% CI 1.08-18.34). </w:t>
      </w:r>
      <w:r w:rsidRPr="003E1805">
        <w:rPr>
          <w:rFonts w:ascii="Cambria" w:hAnsi="Cambria"/>
          <w:b/>
          <w:sz w:val="20"/>
          <w:szCs w:val="20"/>
          <w:lang w:val="en"/>
        </w:rPr>
        <w:t>Conclusions:</w:t>
      </w:r>
      <w:r w:rsidRPr="003E1805">
        <w:rPr>
          <w:rFonts w:ascii="Cambria" w:hAnsi="Cambria"/>
          <w:sz w:val="20"/>
          <w:szCs w:val="20"/>
          <w:lang w:val="en"/>
        </w:rPr>
        <w:t xml:space="preserve"> The effect of QL in MS is variable and depends on sociodemographic and clinical factors. Evaluating the (HRQL) in clinical practice facilitates the understanding of the behavior and needs of the patient required for risk factors intervention.</w:t>
      </w:r>
    </w:p>
    <w:p w14:paraId="37F3494A" w14:textId="1DC5C008" w:rsidR="004A647B" w:rsidRDefault="004A647B" w:rsidP="00D16971">
      <w:pPr>
        <w:autoSpaceDE w:val="0"/>
        <w:autoSpaceDN w:val="0"/>
        <w:adjustRightInd w:val="0"/>
        <w:spacing w:after="0" w:line="240" w:lineRule="auto"/>
        <w:jc w:val="both"/>
        <w:rPr>
          <w:rFonts w:asciiTheme="majorHAnsi" w:hAnsiTheme="majorHAnsi" w:cs="Times New Roman"/>
          <w:b/>
          <w:sz w:val="20"/>
          <w:szCs w:val="18"/>
          <w:lang w:val="en-US"/>
        </w:rPr>
      </w:pPr>
    </w:p>
    <w:p w14:paraId="394BABCB" w14:textId="3C6C3A44" w:rsidR="007E4A44" w:rsidRPr="00D202BE" w:rsidRDefault="00072A7E" w:rsidP="00D16971">
      <w:pPr>
        <w:autoSpaceDE w:val="0"/>
        <w:autoSpaceDN w:val="0"/>
        <w:adjustRightInd w:val="0"/>
        <w:spacing w:after="0" w:line="240" w:lineRule="auto"/>
        <w:jc w:val="both"/>
        <w:rPr>
          <w:rFonts w:asciiTheme="majorHAnsi" w:hAnsiTheme="majorHAnsi" w:cs="Times New Roman"/>
          <w:sz w:val="20"/>
          <w:szCs w:val="18"/>
          <w:lang w:val="es-CO"/>
        </w:rPr>
      </w:pPr>
      <w:r w:rsidRPr="00D202BE">
        <w:rPr>
          <w:rFonts w:asciiTheme="majorHAnsi" w:hAnsiTheme="majorHAnsi" w:cs="Times New Roman"/>
          <w:b/>
          <w:sz w:val="20"/>
          <w:szCs w:val="18"/>
          <w:lang w:val="en-US"/>
        </w:rPr>
        <w:t>Key</w:t>
      </w:r>
      <w:r w:rsidR="00C400DE">
        <w:rPr>
          <w:rFonts w:asciiTheme="majorHAnsi" w:hAnsiTheme="majorHAnsi" w:cs="Times New Roman"/>
          <w:b/>
          <w:sz w:val="20"/>
          <w:szCs w:val="18"/>
          <w:lang w:val="en-US"/>
        </w:rPr>
        <w:t xml:space="preserve"> </w:t>
      </w:r>
      <w:r w:rsidR="007E4A44" w:rsidRPr="00D202BE">
        <w:rPr>
          <w:rFonts w:asciiTheme="majorHAnsi" w:hAnsiTheme="majorHAnsi" w:cs="Times New Roman"/>
          <w:b/>
          <w:sz w:val="20"/>
          <w:szCs w:val="18"/>
          <w:lang w:val="en-US"/>
        </w:rPr>
        <w:t>words:</w:t>
      </w:r>
      <w:r w:rsidR="007E4A44" w:rsidRPr="00D202BE">
        <w:rPr>
          <w:rFonts w:asciiTheme="majorHAnsi" w:hAnsiTheme="majorHAnsi" w:cs="Times New Roman"/>
          <w:sz w:val="20"/>
          <w:szCs w:val="18"/>
          <w:lang w:val="en-US"/>
        </w:rPr>
        <w:t xml:space="preserve"> </w:t>
      </w:r>
      <w:r w:rsidR="00681CFA" w:rsidRPr="009925A2">
        <w:rPr>
          <w:rFonts w:ascii="Cambria" w:hAnsi="Cambria"/>
          <w:sz w:val="20"/>
          <w:szCs w:val="20"/>
          <w:lang w:val="en"/>
        </w:rPr>
        <w:t xml:space="preserve">Multiple </w:t>
      </w:r>
      <w:r w:rsidR="00BE0A84" w:rsidRPr="009925A2">
        <w:rPr>
          <w:rFonts w:ascii="Cambria" w:hAnsi="Cambria"/>
          <w:sz w:val="20"/>
          <w:szCs w:val="20"/>
          <w:lang w:val="en"/>
        </w:rPr>
        <w:t>sclerosis</w:t>
      </w:r>
      <w:r w:rsidR="00BE0A84">
        <w:rPr>
          <w:rFonts w:ascii="Cambria" w:hAnsi="Cambria"/>
          <w:sz w:val="20"/>
          <w:szCs w:val="20"/>
          <w:lang w:val="en"/>
        </w:rPr>
        <w:t>;</w:t>
      </w:r>
      <w:r w:rsidR="00BE0A84" w:rsidRPr="009925A2">
        <w:rPr>
          <w:rFonts w:ascii="Cambria" w:hAnsi="Cambria"/>
          <w:sz w:val="20"/>
          <w:szCs w:val="20"/>
          <w:lang w:val="en"/>
        </w:rPr>
        <w:t xml:space="preserve"> </w:t>
      </w:r>
      <w:r w:rsidR="003F56EE">
        <w:rPr>
          <w:rFonts w:ascii="Cambria" w:hAnsi="Cambria"/>
          <w:sz w:val="20"/>
          <w:szCs w:val="20"/>
          <w:lang w:val="en"/>
        </w:rPr>
        <w:t>h</w:t>
      </w:r>
      <w:r w:rsidR="00E461DB">
        <w:rPr>
          <w:rFonts w:ascii="Cambria" w:hAnsi="Cambria"/>
          <w:sz w:val="20"/>
          <w:szCs w:val="20"/>
          <w:lang w:val="en"/>
        </w:rPr>
        <w:t xml:space="preserve">ealth </w:t>
      </w:r>
      <w:r w:rsidR="003F56EE">
        <w:rPr>
          <w:rFonts w:ascii="Cambria" w:hAnsi="Cambria"/>
          <w:sz w:val="20"/>
          <w:szCs w:val="20"/>
          <w:lang w:val="en"/>
        </w:rPr>
        <w:t>r</w:t>
      </w:r>
      <w:r w:rsidR="00E461DB">
        <w:rPr>
          <w:rFonts w:ascii="Cambria" w:hAnsi="Cambria"/>
          <w:sz w:val="20"/>
          <w:szCs w:val="20"/>
          <w:lang w:val="en"/>
        </w:rPr>
        <w:t xml:space="preserve">elated </w:t>
      </w:r>
      <w:r w:rsidR="00E461DB" w:rsidRPr="00052119">
        <w:rPr>
          <w:rFonts w:ascii="Cambria" w:hAnsi="Cambria"/>
          <w:sz w:val="20"/>
          <w:szCs w:val="20"/>
        </w:rPr>
        <w:t>quality of life</w:t>
      </w:r>
      <w:r w:rsidR="00E461DB">
        <w:rPr>
          <w:rFonts w:ascii="Cambria" w:hAnsi="Cambria"/>
          <w:sz w:val="20"/>
          <w:szCs w:val="20"/>
        </w:rPr>
        <w:t>;</w:t>
      </w:r>
      <w:r w:rsidR="00E461DB" w:rsidRPr="009925A2">
        <w:rPr>
          <w:rFonts w:ascii="Cambria" w:hAnsi="Cambria"/>
          <w:sz w:val="20"/>
          <w:szCs w:val="20"/>
          <w:lang w:val="en"/>
        </w:rPr>
        <w:t xml:space="preserve"> </w:t>
      </w:r>
      <w:r w:rsidR="00BE0A84" w:rsidRPr="009925A2">
        <w:rPr>
          <w:rFonts w:ascii="Cambria" w:hAnsi="Cambria"/>
          <w:sz w:val="20"/>
          <w:szCs w:val="20"/>
          <w:lang w:val="en"/>
        </w:rPr>
        <w:t>disabled persons</w:t>
      </w:r>
      <w:r w:rsidR="00BE0A84">
        <w:rPr>
          <w:rFonts w:ascii="Cambria" w:hAnsi="Cambria"/>
          <w:sz w:val="20"/>
          <w:szCs w:val="20"/>
          <w:lang w:val="en"/>
        </w:rPr>
        <w:t>;</w:t>
      </w:r>
      <w:r w:rsidR="00BE0A84" w:rsidRPr="009925A2">
        <w:rPr>
          <w:rFonts w:ascii="Cambria" w:hAnsi="Cambria"/>
          <w:sz w:val="20"/>
          <w:szCs w:val="20"/>
          <w:lang w:val="en"/>
        </w:rPr>
        <w:t xml:space="preserve"> activities of daily li</w:t>
      </w:r>
      <w:r w:rsidR="00BE0A84">
        <w:rPr>
          <w:rFonts w:ascii="Cambria" w:hAnsi="Cambria"/>
          <w:sz w:val="20"/>
          <w:szCs w:val="20"/>
          <w:lang w:val="en"/>
        </w:rPr>
        <w:t xml:space="preserve">ving; </w:t>
      </w:r>
      <w:r w:rsidR="00BE0A84" w:rsidRPr="009925A2">
        <w:rPr>
          <w:rFonts w:ascii="Cambria" w:hAnsi="Cambria"/>
          <w:sz w:val="20"/>
          <w:szCs w:val="20"/>
        </w:rPr>
        <w:t>risk factors</w:t>
      </w:r>
      <w:r w:rsidR="001E6EA1" w:rsidRPr="00D202BE">
        <w:rPr>
          <w:rFonts w:asciiTheme="majorHAnsi" w:hAnsiTheme="majorHAnsi" w:cs="Arial"/>
          <w:sz w:val="20"/>
          <w:szCs w:val="20"/>
          <w:lang w:val="en-US"/>
        </w:rPr>
        <w:t>.</w:t>
      </w:r>
      <w:r w:rsidR="007E4A44" w:rsidRPr="00D202BE">
        <w:rPr>
          <w:rFonts w:asciiTheme="majorHAnsi" w:hAnsiTheme="majorHAnsi" w:cs="Times New Roman"/>
          <w:sz w:val="20"/>
          <w:szCs w:val="18"/>
          <w:lang w:val="en-US"/>
        </w:rPr>
        <w:t xml:space="preserve"> </w:t>
      </w:r>
      <w:r w:rsidR="00132A3B" w:rsidRPr="00D202BE">
        <w:rPr>
          <w:rFonts w:asciiTheme="majorHAnsi" w:hAnsiTheme="majorHAnsi" w:cs="Times New Roman"/>
          <w:sz w:val="20"/>
          <w:szCs w:val="18"/>
          <w:lang w:val="es-CO"/>
        </w:rPr>
        <w:t>(Source: DeCS, Bireme).</w:t>
      </w:r>
    </w:p>
    <w:p w14:paraId="517D25CC" w14:textId="77777777" w:rsidR="00F329B1" w:rsidRPr="00D202BE" w:rsidRDefault="00F329B1" w:rsidP="004A647B">
      <w:pPr>
        <w:autoSpaceDE w:val="0"/>
        <w:autoSpaceDN w:val="0"/>
        <w:adjustRightInd w:val="0"/>
        <w:spacing w:after="0" w:line="240" w:lineRule="auto"/>
        <w:rPr>
          <w:rFonts w:asciiTheme="majorHAnsi" w:hAnsiTheme="majorHAnsi" w:cs="Times New Roman"/>
          <w:b/>
          <w:sz w:val="36"/>
        </w:rPr>
        <w:sectPr w:rsidR="00F329B1" w:rsidRPr="00D202BE" w:rsidSect="00720572">
          <w:headerReference w:type="default" r:id="rId9"/>
          <w:footerReference w:type="default" r:id="rId10"/>
          <w:footerReference w:type="first" r:id="rId11"/>
          <w:endnotePr>
            <w:numFmt w:val="decimal"/>
          </w:endnotePr>
          <w:type w:val="continuous"/>
          <w:pgSz w:w="12240" w:h="15840"/>
          <w:pgMar w:top="1134" w:right="851" w:bottom="1134" w:left="851" w:header="397" w:footer="227" w:gutter="0"/>
          <w:pgNumType w:start="226"/>
          <w:cols w:space="708"/>
          <w:titlePg/>
          <w:docGrid w:linePitch="360"/>
        </w:sectPr>
      </w:pPr>
    </w:p>
    <w:p w14:paraId="1F040C0F" w14:textId="77777777" w:rsidR="001B7941" w:rsidRDefault="001B7941" w:rsidP="001D5EAC">
      <w:pPr>
        <w:spacing w:after="0" w:line="240" w:lineRule="auto"/>
        <w:jc w:val="center"/>
        <w:rPr>
          <w:rFonts w:asciiTheme="majorHAnsi" w:hAnsiTheme="majorHAnsi" w:cs="Times New Roman"/>
          <w:b/>
          <w:sz w:val="24"/>
        </w:rPr>
      </w:pPr>
    </w:p>
    <w:p w14:paraId="794F6E9E" w14:textId="77777777" w:rsidR="001B7941" w:rsidRDefault="001B7941" w:rsidP="001D5EAC">
      <w:pPr>
        <w:spacing w:after="0" w:line="240" w:lineRule="auto"/>
        <w:jc w:val="center"/>
        <w:rPr>
          <w:rFonts w:asciiTheme="majorHAnsi" w:hAnsiTheme="majorHAnsi" w:cs="Times New Roman"/>
          <w:b/>
          <w:sz w:val="24"/>
        </w:rPr>
      </w:pPr>
    </w:p>
    <w:p w14:paraId="77539510" w14:textId="77777777" w:rsidR="001B7941" w:rsidRDefault="001B7941" w:rsidP="001D5EAC">
      <w:pPr>
        <w:spacing w:after="0" w:line="240" w:lineRule="auto"/>
        <w:jc w:val="center"/>
        <w:rPr>
          <w:rFonts w:asciiTheme="majorHAnsi" w:hAnsiTheme="majorHAnsi" w:cs="Times New Roman"/>
          <w:b/>
          <w:sz w:val="24"/>
        </w:rPr>
      </w:pPr>
    </w:p>
    <w:p w14:paraId="5C8A75C8" w14:textId="77777777" w:rsidR="001B7941" w:rsidRDefault="001B7941" w:rsidP="001D5EAC">
      <w:pPr>
        <w:spacing w:after="0" w:line="240" w:lineRule="auto"/>
        <w:jc w:val="center"/>
        <w:rPr>
          <w:rFonts w:asciiTheme="majorHAnsi" w:hAnsiTheme="majorHAnsi" w:cs="Times New Roman"/>
          <w:b/>
          <w:sz w:val="24"/>
        </w:rPr>
      </w:pPr>
    </w:p>
    <w:p w14:paraId="59FBFD60" w14:textId="26F281B1" w:rsidR="001D5EAC" w:rsidRDefault="001D5EAC" w:rsidP="001D5EAC">
      <w:pPr>
        <w:spacing w:after="0" w:line="240" w:lineRule="auto"/>
        <w:jc w:val="center"/>
        <w:rPr>
          <w:rFonts w:asciiTheme="majorHAnsi" w:hAnsiTheme="majorHAnsi" w:cs="Times New Roman"/>
          <w:b/>
          <w:sz w:val="24"/>
        </w:rPr>
      </w:pPr>
      <w:r w:rsidRPr="00D202BE">
        <w:rPr>
          <w:rFonts w:asciiTheme="majorHAnsi" w:hAnsiTheme="majorHAnsi" w:cs="Times New Roman"/>
          <w:b/>
          <w:sz w:val="24"/>
        </w:rPr>
        <w:lastRenderedPageBreak/>
        <w:t>Referencias</w:t>
      </w:r>
    </w:p>
    <w:p w14:paraId="0A9AA32B" w14:textId="31705839"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bookmarkStart w:id="0" w:name="_GoBack"/>
      <w:bookmarkEnd w:id="0"/>
      <w:r w:rsidRPr="009060DB">
        <w:rPr>
          <w:rFonts w:asciiTheme="majorHAnsi" w:hAnsiTheme="majorHAnsi" w:cs="Times New Roman"/>
          <w:sz w:val="18"/>
          <w:lang w:val="en-US"/>
        </w:rPr>
        <w:t xml:space="preserve">Kidd T, Carey N, Mold F. A systematic review of the effectiveness of self-management interventions in people with multiple sclerosis at improving depression, anxiety and quality of life. </w:t>
      </w:r>
      <w:r w:rsidRPr="00340E61">
        <w:rPr>
          <w:rFonts w:asciiTheme="majorHAnsi" w:hAnsiTheme="majorHAnsi" w:cs="Times New Roman"/>
          <w:sz w:val="18"/>
        </w:rPr>
        <w:t xml:space="preserve">PLoS One. 2017;12(10):e0185931. </w:t>
      </w:r>
    </w:p>
    <w:p w14:paraId="69725DBF" w14:textId="0C25C1E5"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Browne P, Chandraratna D, Angood C. Atlas of Multiple Sclerosis 2013: A growing global problem with widespread inequity. </w:t>
      </w:r>
      <w:r w:rsidRPr="00340E61">
        <w:rPr>
          <w:rFonts w:asciiTheme="majorHAnsi" w:hAnsiTheme="majorHAnsi" w:cs="Times New Roman"/>
          <w:sz w:val="18"/>
        </w:rPr>
        <w:t xml:space="preserve">Neurology. 2014;83(11):1022–4. </w:t>
      </w:r>
    </w:p>
    <w:p w14:paraId="638350E7" w14:textId="5D232541"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Montalban X, Gold R, Thompson AJ. ECTRIMS/EAN Guideline on the pharmacological treatment of people with multiple sclerosis. </w:t>
      </w:r>
      <w:r w:rsidRPr="00340E61">
        <w:rPr>
          <w:rFonts w:asciiTheme="majorHAnsi" w:hAnsiTheme="majorHAnsi" w:cs="Times New Roman"/>
          <w:sz w:val="18"/>
        </w:rPr>
        <w:t xml:space="preserve">Mult Scler J. 2018;24(2):96–120. </w:t>
      </w:r>
    </w:p>
    <w:p w14:paraId="3FC38762" w14:textId="4111404C"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Hart FM, Bainbridge J. Current and emerging treatment of multiple sclerosis. </w:t>
      </w:r>
      <w:r w:rsidRPr="00340E61">
        <w:rPr>
          <w:rFonts w:asciiTheme="majorHAnsi" w:hAnsiTheme="majorHAnsi" w:cs="Times New Roman"/>
          <w:sz w:val="18"/>
        </w:rPr>
        <w:t xml:space="preserve">Am J Manag Care. 2016;22(6):159–70. </w:t>
      </w:r>
    </w:p>
    <w:p w14:paraId="4B2D8FCB" w14:textId="494608CA"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Vargas DL, Tyor WR. Update on disease-modifying therapies for multiple sclerosis. </w:t>
      </w:r>
      <w:r w:rsidRPr="00340E61">
        <w:rPr>
          <w:rFonts w:asciiTheme="majorHAnsi" w:hAnsiTheme="majorHAnsi" w:cs="Times New Roman"/>
          <w:sz w:val="18"/>
        </w:rPr>
        <w:t xml:space="preserve">J Investig Med. 2017;65(5):883–91. </w:t>
      </w:r>
    </w:p>
    <w:p w14:paraId="2DF24CBE" w14:textId="1C0A8C2B"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Vargas DL, Tyor WR. Update on disease-modifying therapies for multiple sclerosis. </w:t>
      </w:r>
      <w:r w:rsidRPr="00340E61">
        <w:rPr>
          <w:rFonts w:asciiTheme="majorHAnsi" w:hAnsiTheme="majorHAnsi" w:cs="Times New Roman"/>
          <w:sz w:val="18"/>
        </w:rPr>
        <w:t xml:space="preserve">J Investig Med. 2017;65(5):883–91. </w:t>
      </w:r>
    </w:p>
    <w:p w14:paraId="4376E160" w14:textId="0639887E"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Fernández O, Baumstarck-Barrau</w:t>
      </w:r>
      <w:r w:rsidR="00886F90">
        <w:rPr>
          <w:rFonts w:asciiTheme="majorHAnsi" w:hAnsiTheme="majorHAnsi" w:cs="Times New Roman"/>
          <w:sz w:val="18"/>
          <w:lang w:val="en-US"/>
        </w:rPr>
        <w:t xml:space="preserve"> K, </w:t>
      </w:r>
      <w:r w:rsidRPr="009060DB">
        <w:rPr>
          <w:rFonts w:asciiTheme="majorHAnsi" w:hAnsiTheme="majorHAnsi" w:cs="Times New Roman"/>
          <w:sz w:val="18"/>
          <w:lang w:val="en-US"/>
        </w:rPr>
        <w:t>S</w:t>
      </w:r>
      <w:r w:rsidR="00886F90">
        <w:rPr>
          <w:rFonts w:asciiTheme="majorHAnsi" w:hAnsiTheme="majorHAnsi" w:cs="Times New Roman"/>
          <w:sz w:val="18"/>
          <w:lang w:val="en-US"/>
        </w:rPr>
        <w:t>imeoni MC</w:t>
      </w:r>
      <w:r w:rsidRPr="009060DB">
        <w:rPr>
          <w:rFonts w:asciiTheme="majorHAnsi" w:hAnsiTheme="majorHAnsi" w:cs="Times New Roman"/>
          <w:sz w:val="18"/>
          <w:lang w:val="en-US"/>
        </w:rPr>
        <w:t xml:space="preserve">. Patient characteristics and determinants of quality of life in an international population with multiple sclerosis: Assessment using the MusiQoL and SF-36 questionnaires. </w:t>
      </w:r>
      <w:r w:rsidRPr="00340E61">
        <w:rPr>
          <w:rFonts w:asciiTheme="majorHAnsi" w:hAnsiTheme="majorHAnsi" w:cs="Times New Roman"/>
          <w:sz w:val="18"/>
        </w:rPr>
        <w:t xml:space="preserve">Mult Scler J. 2011;17(10):1238–49. </w:t>
      </w:r>
    </w:p>
    <w:p w14:paraId="42B0FD3C" w14:textId="16B9960E"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Baumstarck K, Pelletier J, Butzkueven H. Health-related quality of life as an independent predictor of long-term disability for patients with relapsing-remitting multiple sclerosis. </w:t>
      </w:r>
      <w:r w:rsidRPr="00340E61">
        <w:rPr>
          <w:rFonts w:asciiTheme="majorHAnsi" w:hAnsiTheme="majorHAnsi" w:cs="Times New Roman"/>
          <w:sz w:val="18"/>
        </w:rPr>
        <w:t xml:space="preserve">Eur J Neurol. 2013;20(6):907–14. </w:t>
      </w:r>
    </w:p>
    <w:p w14:paraId="1AEFCD14" w14:textId="5730816E"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Ivanova JI, </w:t>
      </w:r>
      <w:hyperlink r:id="rId12" w:history="1">
        <w:r w:rsidRPr="009060DB">
          <w:rPr>
            <w:rStyle w:val="Hipervnculo"/>
            <w:rFonts w:asciiTheme="majorHAnsi" w:hAnsiTheme="majorHAnsi"/>
            <w:color w:val="auto"/>
            <w:sz w:val="18"/>
            <w:szCs w:val="18"/>
            <w:u w:val="none"/>
            <w:lang w:val="en-US"/>
          </w:rPr>
          <w:t>Birnbaum HG</w:t>
        </w:r>
      </w:hyperlink>
      <w:r w:rsidRPr="009060DB">
        <w:rPr>
          <w:rFonts w:asciiTheme="majorHAnsi" w:hAnsiTheme="majorHAnsi"/>
          <w:sz w:val="18"/>
          <w:szCs w:val="18"/>
          <w:lang w:val="en-US"/>
        </w:rPr>
        <w:t xml:space="preserve">, </w:t>
      </w:r>
      <w:hyperlink r:id="rId13" w:history="1">
        <w:r w:rsidRPr="009060DB">
          <w:rPr>
            <w:rStyle w:val="Hipervnculo"/>
            <w:rFonts w:asciiTheme="majorHAnsi" w:hAnsiTheme="majorHAnsi"/>
            <w:color w:val="auto"/>
            <w:sz w:val="18"/>
            <w:szCs w:val="18"/>
            <w:u w:val="none"/>
            <w:lang w:val="en-US"/>
          </w:rPr>
          <w:t>Samuels S</w:t>
        </w:r>
      </w:hyperlink>
      <w:r w:rsidRPr="009060DB">
        <w:rPr>
          <w:rFonts w:asciiTheme="majorHAnsi" w:hAnsiTheme="majorHAnsi"/>
          <w:sz w:val="18"/>
          <w:szCs w:val="18"/>
          <w:lang w:val="en-US"/>
        </w:rPr>
        <w:t xml:space="preserve">, </w:t>
      </w:r>
      <w:hyperlink r:id="rId14" w:history="1">
        <w:r w:rsidRPr="009060DB">
          <w:rPr>
            <w:rStyle w:val="Hipervnculo"/>
            <w:rFonts w:asciiTheme="majorHAnsi" w:hAnsiTheme="majorHAnsi"/>
            <w:color w:val="auto"/>
            <w:sz w:val="18"/>
            <w:szCs w:val="18"/>
            <w:u w:val="none"/>
            <w:lang w:val="en-US"/>
          </w:rPr>
          <w:t>Davis M</w:t>
        </w:r>
      </w:hyperlink>
      <w:r w:rsidRPr="009060DB">
        <w:rPr>
          <w:rFonts w:asciiTheme="majorHAnsi" w:hAnsiTheme="majorHAnsi"/>
          <w:sz w:val="18"/>
          <w:szCs w:val="18"/>
          <w:lang w:val="en-US"/>
        </w:rPr>
        <w:t xml:space="preserve">, </w:t>
      </w:r>
      <w:hyperlink r:id="rId15" w:history="1">
        <w:r w:rsidRPr="009060DB">
          <w:rPr>
            <w:rStyle w:val="Hipervnculo"/>
            <w:rFonts w:asciiTheme="majorHAnsi" w:hAnsiTheme="majorHAnsi"/>
            <w:color w:val="auto"/>
            <w:sz w:val="18"/>
            <w:szCs w:val="18"/>
            <w:u w:val="none"/>
            <w:lang w:val="en-US"/>
          </w:rPr>
          <w:t>Phillips AL</w:t>
        </w:r>
      </w:hyperlink>
      <w:r w:rsidRPr="009060DB">
        <w:rPr>
          <w:rFonts w:asciiTheme="majorHAnsi" w:hAnsiTheme="majorHAnsi"/>
          <w:sz w:val="18"/>
          <w:szCs w:val="18"/>
          <w:lang w:val="en-US"/>
        </w:rPr>
        <w:t xml:space="preserve">, </w:t>
      </w:r>
      <w:hyperlink r:id="rId16" w:history="1">
        <w:r w:rsidRPr="009060DB">
          <w:rPr>
            <w:rStyle w:val="Hipervnculo"/>
            <w:rFonts w:asciiTheme="majorHAnsi" w:hAnsiTheme="majorHAnsi"/>
            <w:color w:val="auto"/>
            <w:sz w:val="18"/>
            <w:szCs w:val="18"/>
            <w:u w:val="none"/>
            <w:lang w:val="en-US"/>
          </w:rPr>
          <w:t>Meletiche D</w:t>
        </w:r>
      </w:hyperlink>
      <w:r w:rsidRPr="009060DB">
        <w:rPr>
          <w:rFonts w:asciiTheme="majorHAnsi" w:hAnsiTheme="majorHAnsi" w:cs="Times New Roman"/>
          <w:sz w:val="18"/>
          <w:lang w:val="en-US"/>
        </w:rPr>
        <w:t xml:space="preserve">. The cost of disability and medically related absenteeism among employees with multiple sclerosis in the US. </w:t>
      </w:r>
      <w:r w:rsidRPr="00340E61">
        <w:rPr>
          <w:rFonts w:asciiTheme="majorHAnsi" w:hAnsiTheme="majorHAnsi" w:cs="Times New Roman"/>
          <w:sz w:val="18"/>
        </w:rPr>
        <w:t>Pharmacoeconomics. 2009;27(8):681</w:t>
      </w:r>
      <w:r>
        <w:rPr>
          <w:rFonts w:asciiTheme="majorHAnsi" w:hAnsiTheme="majorHAnsi" w:cs="Times New Roman"/>
          <w:sz w:val="18"/>
        </w:rPr>
        <w:t>-</w:t>
      </w:r>
      <w:r w:rsidRPr="00340E61">
        <w:rPr>
          <w:rFonts w:asciiTheme="majorHAnsi" w:hAnsiTheme="majorHAnsi" w:cs="Times New Roman"/>
          <w:sz w:val="18"/>
        </w:rPr>
        <w:t xml:space="preserve">91. </w:t>
      </w:r>
    </w:p>
    <w:p w14:paraId="7C9B296A" w14:textId="39899264"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Cores E V, Vanotti S, Burin DI. Factores asociados con la situación laboral de pacientes con esclerosis múltiple TT - Factors associated to the work situation of patients with multiple sclerosis. </w:t>
      </w:r>
      <w:r w:rsidRPr="00340E61">
        <w:rPr>
          <w:rFonts w:asciiTheme="majorHAnsi" w:hAnsiTheme="majorHAnsi" w:cs="Times New Roman"/>
          <w:sz w:val="18"/>
        </w:rPr>
        <w:t xml:space="preserve">Rev Neurol. 2014;58(4):175–83. </w:t>
      </w:r>
    </w:p>
    <w:p w14:paraId="6790CDB4" w14:textId="3E47BDC7"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Patti F. Effects of education level and employment status on HRQoL in early relapsing-remitting multiple sclerosis. </w:t>
      </w:r>
      <w:r w:rsidRPr="00340E61">
        <w:rPr>
          <w:rFonts w:asciiTheme="majorHAnsi" w:hAnsiTheme="majorHAnsi" w:cs="Times New Roman"/>
          <w:sz w:val="18"/>
        </w:rPr>
        <w:t xml:space="preserve">Mult Scler. 2007;13(6):783–91. </w:t>
      </w:r>
    </w:p>
    <w:p w14:paraId="39305885" w14:textId="601EFAF3"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Benedict RH, Wahlig E, Bakshi R</w:t>
      </w:r>
      <w:r w:rsidR="00761E1E" w:rsidRPr="009060DB">
        <w:rPr>
          <w:rFonts w:asciiTheme="majorHAnsi" w:hAnsiTheme="majorHAnsi" w:cs="Times New Roman"/>
          <w:sz w:val="18"/>
          <w:lang w:val="en-US"/>
        </w:rPr>
        <w:t>, Fishman I, Munschauer F, Zivadinov R, et al</w:t>
      </w:r>
      <w:r w:rsidRPr="009060DB">
        <w:rPr>
          <w:rFonts w:asciiTheme="majorHAnsi" w:hAnsiTheme="majorHAnsi" w:cs="Times New Roman"/>
          <w:sz w:val="18"/>
          <w:lang w:val="en-US"/>
        </w:rPr>
        <w:t xml:space="preserve">. </w:t>
      </w:r>
      <w:r w:rsidRPr="00340E61">
        <w:rPr>
          <w:rFonts w:asciiTheme="majorHAnsi" w:hAnsiTheme="majorHAnsi" w:cs="Times New Roman"/>
          <w:sz w:val="18"/>
        </w:rPr>
        <w:t xml:space="preserve">Predicting quality of life in multiple sclerosis: accounting for physical disability, fatigue, cognition, mood disorder, personality, and behavior change. J Neurol Sci. 2005;231(1–2):29–34. </w:t>
      </w:r>
    </w:p>
    <w:p w14:paraId="0EC0AFE6" w14:textId="1908CC89"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340E61">
        <w:rPr>
          <w:rFonts w:asciiTheme="majorHAnsi" w:hAnsiTheme="majorHAnsi" w:cs="Times New Roman"/>
          <w:sz w:val="18"/>
        </w:rPr>
        <w:t xml:space="preserve">Olascoaga J. Calidad de vida y esclerosis múltiple. Rev Neurol. 2010;51(5):279–88. </w:t>
      </w:r>
    </w:p>
    <w:p w14:paraId="1128CC45" w14:textId="68A71370"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340E61">
        <w:rPr>
          <w:rFonts w:asciiTheme="majorHAnsi" w:hAnsiTheme="majorHAnsi" w:cs="Times New Roman"/>
          <w:sz w:val="18"/>
        </w:rPr>
        <w:t>Simeoni MC, Auquier P, Fernandez O</w:t>
      </w:r>
      <w:r w:rsidR="00886F90">
        <w:rPr>
          <w:rFonts w:asciiTheme="majorHAnsi" w:hAnsiTheme="majorHAnsi" w:cs="Times New Roman"/>
          <w:sz w:val="18"/>
        </w:rPr>
        <w:t>,</w:t>
      </w:r>
      <w:r w:rsidRPr="00340E61">
        <w:rPr>
          <w:rFonts w:asciiTheme="majorHAnsi" w:hAnsiTheme="majorHAnsi" w:cs="Times New Roman"/>
          <w:sz w:val="18"/>
        </w:rPr>
        <w:t xml:space="preserve">  et al. Validation of the Multiple Sclerosis International. Mult Scler. 2008;14(2007):219–30. </w:t>
      </w:r>
    </w:p>
    <w:p w14:paraId="65313201" w14:textId="43163E20"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340E61">
        <w:rPr>
          <w:rFonts w:asciiTheme="majorHAnsi" w:hAnsiTheme="majorHAnsi" w:cs="Times New Roman"/>
          <w:sz w:val="18"/>
        </w:rPr>
        <w:t xml:space="preserve">Fernández O, Fernández V, Baumstarck-Barrau. </w:t>
      </w:r>
      <w:r w:rsidRPr="009060DB">
        <w:rPr>
          <w:rFonts w:asciiTheme="majorHAnsi" w:hAnsiTheme="majorHAnsi" w:cs="Times New Roman"/>
          <w:sz w:val="18"/>
          <w:lang w:val="en-US"/>
        </w:rPr>
        <w:t xml:space="preserve">Validation of the spanish version of the multiple sclerosis international quality of life (musiqol) questionnaire. </w:t>
      </w:r>
      <w:r w:rsidRPr="00340E61">
        <w:rPr>
          <w:rFonts w:asciiTheme="majorHAnsi" w:hAnsiTheme="majorHAnsi" w:cs="Times New Roman"/>
          <w:sz w:val="18"/>
        </w:rPr>
        <w:t xml:space="preserve">BMC Neurol. 2011;11(1):127. </w:t>
      </w:r>
    </w:p>
    <w:p w14:paraId="2B584062" w14:textId="441C4F8A"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Boucher F, Baumstarck K, Acquadro C. Challenges In Translating The Multiple Sclerosis International Quality of Life (Musiqol) Questionnaire In 57 Languages. </w:t>
      </w:r>
      <w:r w:rsidRPr="00340E61">
        <w:rPr>
          <w:rFonts w:asciiTheme="majorHAnsi" w:hAnsiTheme="majorHAnsi" w:cs="Times New Roman"/>
          <w:sz w:val="18"/>
        </w:rPr>
        <w:t xml:space="preserve">Value Heal. 2015;18(7):A762. </w:t>
      </w:r>
    </w:p>
    <w:p w14:paraId="73AAB847" w14:textId="41261B75"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Gracia F, Larreategui M, Rodríguez G. Costs of multiple sclerosis in Panama from societal, patient perspectives and healthrelated quality of life. </w:t>
      </w:r>
      <w:r w:rsidRPr="00340E61">
        <w:rPr>
          <w:rFonts w:asciiTheme="majorHAnsi" w:hAnsiTheme="majorHAnsi" w:cs="Times New Roman"/>
          <w:sz w:val="18"/>
        </w:rPr>
        <w:t xml:space="preserve">PLoS One. 2018;13(10):1–12. </w:t>
      </w:r>
    </w:p>
    <w:p w14:paraId="776C8356" w14:textId="2948C8E5"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WHOQOL. Development of the WHOQOL: Rationale and Current Status. </w:t>
      </w:r>
      <w:r w:rsidRPr="00340E61">
        <w:rPr>
          <w:rFonts w:asciiTheme="majorHAnsi" w:hAnsiTheme="majorHAnsi" w:cs="Times New Roman"/>
          <w:sz w:val="18"/>
        </w:rPr>
        <w:t xml:space="preserve">Int J Ment Health. 2014;23(3):24–56. </w:t>
      </w:r>
    </w:p>
    <w:p w14:paraId="18F76AB6" w14:textId="01A80AAF"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Kurtzke JF. Rating neurologic impairment in multiple sclerosis: An expanded disability status scale (EDSS). </w:t>
      </w:r>
      <w:r w:rsidRPr="00340E61">
        <w:rPr>
          <w:rFonts w:asciiTheme="majorHAnsi" w:hAnsiTheme="majorHAnsi" w:cs="Times New Roman"/>
          <w:sz w:val="18"/>
        </w:rPr>
        <w:t xml:space="preserve">Neurology. 1983;33(11):1444–1444. </w:t>
      </w:r>
    </w:p>
    <w:p w14:paraId="66C59451" w14:textId="055B4A45"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William WK, Zung MD. A self rating depression scale. </w:t>
      </w:r>
      <w:r w:rsidRPr="00340E61">
        <w:rPr>
          <w:rFonts w:asciiTheme="majorHAnsi" w:hAnsiTheme="majorHAnsi" w:cs="Times New Roman"/>
          <w:sz w:val="18"/>
        </w:rPr>
        <w:t xml:space="preserve">Arch gen psych. 1965;12:63–70. </w:t>
      </w:r>
    </w:p>
    <w:p w14:paraId="44D7DD37" w14:textId="4BAD8557"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William WK. Factors influencing the Self-Rating Depression Scale. </w:t>
      </w:r>
      <w:r w:rsidRPr="00340E61">
        <w:rPr>
          <w:rFonts w:asciiTheme="majorHAnsi" w:hAnsiTheme="majorHAnsi" w:cs="Times New Roman"/>
          <w:sz w:val="18"/>
        </w:rPr>
        <w:t xml:space="preserve">Arch Gen Psychiat. 1967;16:543–7. </w:t>
      </w:r>
    </w:p>
    <w:p w14:paraId="284E4F23" w14:textId="3DF95210"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340E61">
        <w:rPr>
          <w:rFonts w:asciiTheme="majorHAnsi" w:hAnsiTheme="majorHAnsi" w:cs="Times New Roman"/>
          <w:sz w:val="18"/>
        </w:rPr>
        <w:lastRenderedPageBreak/>
        <w:t xml:space="preserve">Campo-Arias A. Comparación de algunas propiedades psicométricas de la escala de Zung para depresión con puntuaciones dicotómicas. Rev Colomb Psiquiatr. 2006;35(4):511–8. </w:t>
      </w:r>
    </w:p>
    <w:p w14:paraId="5F3EC87B" w14:textId="362D0422"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340E61">
        <w:rPr>
          <w:rFonts w:asciiTheme="majorHAnsi" w:hAnsiTheme="majorHAnsi" w:cs="Times New Roman"/>
          <w:sz w:val="18"/>
        </w:rPr>
        <w:t xml:space="preserve">Campo-Arias A, Díaz-Martínez LA, Rueda-Jaimes GE. Validación de la escala de Zung para depresión en universitarias de Bucaramanga, Colombia Validation of Zung’s Self-Rating Depression Scale Among Universitary Student Women from </w:t>
      </w:r>
      <w:r w:rsidR="001D1B58" w:rsidRPr="00340E61">
        <w:rPr>
          <w:rFonts w:asciiTheme="majorHAnsi" w:hAnsiTheme="majorHAnsi" w:cs="Times New Roman"/>
          <w:sz w:val="18"/>
        </w:rPr>
        <w:t>Bucaramanga,</w:t>
      </w:r>
      <w:r w:rsidRPr="00340E61">
        <w:rPr>
          <w:rFonts w:asciiTheme="majorHAnsi" w:hAnsiTheme="majorHAnsi" w:cs="Times New Roman"/>
          <w:sz w:val="18"/>
        </w:rPr>
        <w:t xml:space="preserve"> Colombia. Rev Colomb Psiquiatr. 2005;34(1):54–62. </w:t>
      </w:r>
    </w:p>
    <w:p w14:paraId="069DFD90" w14:textId="4F8E6F91"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Polman CH, Reingold SC. Diagnostic criteria for multiple sclerosis: 2010 Revisions to the McDonald criteria. </w:t>
      </w:r>
      <w:r w:rsidRPr="00340E61">
        <w:rPr>
          <w:rFonts w:asciiTheme="majorHAnsi" w:hAnsiTheme="majorHAnsi" w:cs="Times New Roman"/>
          <w:sz w:val="18"/>
        </w:rPr>
        <w:t xml:space="preserve">Ann Neurol. 2011;69(2):292–302. </w:t>
      </w:r>
    </w:p>
    <w:p w14:paraId="76153FD9" w14:textId="478F39BE"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340E61">
        <w:rPr>
          <w:rFonts w:asciiTheme="majorHAnsi" w:hAnsiTheme="majorHAnsi" w:cs="Times New Roman"/>
          <w:sz w:val="18"/>
        </w:rPr>
        <w:t xml:space="preserve">Alan J Thompson, Brenda L Banwell FB. Diagnosis of multiple sclerosis: revision of the McDonald criteria 2017. Lancet Neurol. 2018;89(17):162–73. </w:t>
      </w:r>
    </w:p>
    <w:p w14:paraId="283F4D10" w14:textId="05767D04"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Salter AR, Cutter GR, Tyry T. Impact of loss of mobility on instrumental activities of daily living and socioeconomic status in patients with MS. </w:t>
      </w:r>
      <w:r w:rsidRPr="00340E61">
        <w:rPr>
          <w:rFonts w:asciiTheme="majorHAnsi" w:hAnsiTheme="majorHAnsi" w:cs="Times New Roman"/>
          <w:sz w:val="18"/>
        </w:rPr>
        <w:t xml:space="preserve">Curr Med Res Opin. 2010;26(2):493–500. </w:t>
      </w:r>
    </w:p>
    <w:p w14:paraId="1F7C2193" w14:textId="0D42E6DF" w:rsidR="00340E61" w:rsidRPr="00340E61" w:rsidRDefault="008275D2" w:rsidP="00340E61">
      <w:pPr>
        <w:pStyle w:val="Prrafodelista"/>
        <w:numPr>
          <w:ilvl w:val="0"/>
          <w:numId w:val="21"/>
        </w:numPr>
        <w:spacing w:after="0" w:line="240" w:lineRule="auto"/>
        <w:ind w:left="357" w:hanging="357"/>
        <w:jc w:val="both"/>
        <w:rPr>
          <w:rFonts w:asciiTheme="majorHAnsi" w:hAnsiTheme="majorHAnsi" w:cs="Times New Roman"/>
          <w:sz w:val="18"/>
        </w:rPr>
      </w:pPr>
      <w:r>
        <w:rPr>
          <w:rFonts w:asciiTheme="majorHAnsi" w:hAnsiTheme="majorHAnsi" w:cs="Times New Roman"/>
          <w:sz w:val="18"/>
        </w:rPr>
        <w:t>MS International Federation</w:t>
      </w:r>
      <w:r w:rsidR="00340E61" w:rsidRPr="00340E61">
        <w:rPr>
          <w:rFonts w:asciiTheme="majorHAnsi" w:hAnsiTheme="majorHAnsi" w:cs="Times New Roman"/>
          <w:sz w:val="18"/>
        </w:rPr>
        <w:t>. Informe mundial sob</w:t>
      </w:r>
      <w:r>
        <w:rPr>
          <w:rFonts w:asciiTheme="majorHAnsi" w:hAnsiTheme="majorHAnsi" w:cs="Times New Roman"/>
          <w:sz w:val="18"/>
        </w:rPr>
        <w:t>re el empleo y la EM 2016. London: MS; 2016</w:t>
      </w:r>
      <w:r w:rsidR="00340E61" w:rsidRPr="00340E61">
        <w:rPr>
          <w:rFonts w:asciiTheme="majorHAnsi" w:hAnsiTheme="majorHAnsi" w:cs="Times New Roman"/>
          <w:sz w:val="18"/>
        </w:rPr>
        <w:t xml:space="preserve">. </w:t>
      </w:r>
    </w:p>
    <w:p w14:paraId="7820D82B" w14:textId="4A551971"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Smith C, Hale L, Olson K. How does exercise influence fatigue in people with multiple sclerosis. </w:t>
      </w:r>
      <w:r w:rsidRPr="00340E61">
        <w:rPr>
          <w:rFonts w:asciiTheme="majorHAnsi" w:hAnsiTheme="majorHAnsi" w:cs="Times New Roman"/>
          <w:sz w:val="18"/>
        </w:rPr>
        <w:t xml:space="preserve">Disabil Rehabil. 2009;31(9):685–92. </w:t>
      </w:r>
    </w:p>
    <w:p w14:paraId="1F11ECAC" w14:textId="58B6FC09"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Freeman JA, Hendrie W, Creanor S. Standing up in multiple sclerosis (SUMS): Protocol for a multi-centre randomised controlled trial evaluating the clinical and cost effectiveness of a home-based self-management standing frame programme in people with progressive multiple sclerosis. </w:t>
      </w:r>
      <w:r w:rsidRPr="00340E61">
        <w:rPr>
          <w:rFonts w:asciiTheme="majorHAnsi" w:hAnsiTheme="majorHAnsi" w:cs="Times New Roman"/>
          <w:sz w:val="18"/>
        </w:rPr>
        <w:t xml:space="preserve">BMC Neurol. 2016;16(1):1–10. </w:t>
      </w:r>
    </w:p>
    <w:p w14:paraId="0DB1507D" w14:textId="03C8C40C"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Benito-León J, Mitchell AJ, Rivera-Navarro J. Impaired health-related quality of life predicts progression of disability in multiple sclerosis. </w:t>
      </w:r>
      <w:r w:rsidRPr="00340E61">
        <w:rPr>
          <w:rFonts w:asciiTheme="majorHAnsi" w:hAnsiTheme="majorHAnsi" w:cs="Times New Roman"/>
          <w:sz w:val="18"/>
        </w:rPr>
        <w:t xml:space="preserve">Eur J Neurol. 2013;20(1):79–86. </w:t>
      </w:r>
    </w:p>
    <w:p w14:paraId="66698241" w14:textId="6E0EF6A9"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Wilski M, Tasiemski T. Health-related quality of life in multiple sclerosis: role of cognitive appraisals of self, illness and treatment. </w:t>
      </w:r>
      <w:r w:rsidRPr="00340E61">
        <w:rPr>
          <w:rFonts w:asciiTheme="majorHAnsi" w:hAnsiTheme="majorHAnsi" w:cs="Times New Roman"/>
          <w:sz w:val="18"/>
        </w:rPr>
        <w:t xml:space="preserve">Qual Life Res. 2016;25(7):1761–70. </w:t>
      </w:r>
    </w:p>
    <w:p w14:paraId="78B6F650" w14:textId="752C3CA3"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Yalachkov Y, Soydaş D, Bergmann J. Determinants of quality of life in relapsing-remitting and progressive multiple sclerosis. </w:t>
      </w:r>
      <w:r w:rsidRPr="00340E61">
        <w:rPr>
          <w:rFonts w:asciiTheme="majorHAnsi" w:hAnsiTheme="majorHAnsi" w:cs="Times New Roman"/>
          <w:sz w:val="18"/>
        </w:rPr>
        <w:t xml:space="preserve">Mult Scler Relat Disord. 2019;30(January):33–7. </w:t>
      </w:r>
    </w:p>
    <w:p w14:paraId="1E146130" w14:textId="14DE9905"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Wang Y, Gorenstein C. Assessment of depression in medical patients: A systematic review of the utility of the Beck Depression Inventory-II. </w:t>
      </w:r>
      <w:r w:rsidRPr="00340E61">
        <w:rPr>
          <w:rFonts w:asciiTheme="majorHAnsi" w:hAnsiTheme="majorHAnsi" w:cs="Times New Roman"/>
          <w:sz w:val="18"/>
        </w:rPr>
        <w:t xml:space="preserve">Clinics. 2013;68(9):1274–87. </w:t>
      </w:r>
    </w:p>
    <w:p w14:paraId="0EE12750" w14:textId="6CF89C92"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Tepavčević DK, Pekmezović T, Drulović J. Quality of life assessment in patients with multiple sclerosis | Ispitivanje kvaliteta života bolesnika sa multiplom sklerozom. </w:t>
      </w:r>
      <w:r w:rsidRPr="00340E61">
        <w:rPr>
          <w:rFonts w:asciiTheme="majorHAnsi" w:hAnsiTheme="majorHAnsi" w:cs="Times New Roman"/>
          <w:sz w:val="18"/>
        </w:rPr>
        <w:t xml:space="preserve">Vojnosanit Pregl. 2009;66(8):645–51. </w:t>
      </w:r>
    </w:p>
    <w:p w14:paraId="6EADD65E" w14:textId="6443092C"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Arnett P, Ben-Zacharia A, Benedict R. The Goldman Consensus statement on depression in multiple sclerosis. </w:t>
      </w:r>
      <w:r w:rsidRPr="00340E61">
        <w:rPr>
          <w:rFonts w:asciiTheme="majorHAnsi" w:hAnsiTheme="majorHAnsi" w:cs="Times New Roman"/>
          <w:sz w:val="18"/>
        </w:rPr>
        <w:t xml:space="preserve">Mult Scler. 2005;11(3):328–37. </w:t>
      </w:r>
    </w:p>
    <w:p w14:paraId="1E05B7BB" w14:textId="2999C2AF"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340E61">
        <w:rPr>
          <w:rFonts w:asciiTheme="majorHAnsi" w:hAnsiTheme="majorHAnsi" w:cs="Times New Roman"/>
          <w:sz w:val="18"/>
        </w:rPr>
        <w:t xml:space="preserve">Sánchez-López MP, Olivares-Pérez T, Nieto-Barco A. Esclerosis múltiple y depresión. Rev Neurol. 2004;38(6):524–9. </w:t>
      </w:r>
    </w:p>
    <w:p w14:paraId="5C6643D8" w14:textId="40688656"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Hale LA, Smith C, Mulligan H. Tell me what you wa</w:t>
      </w:r>
      <w:r w:rsidR="00B81636">
        <w:rPr>
          <w:rFonts w:asciiTheme="majorHAnsi" w:hAnsiTheme="majorHAnsi" w:cs="Times New Roman"/>
          <w:sz w:val="18"/>
          <w:lang w:val="en-US"/>
        </w:rPr>
        <w:t>nt, what you really really want</w:t>
      </w:r>
      <w:r w:rsidRPr="009060DB">
        <w:rPr>
          <w:rFonts w:asciiTheme="majorHAnsi" w:hAnsiTheme="majorHAnsi" w:cs="Times New Roman"/>
          <w:sz w:val="18"/>
          <w:lang w:val="en-US"/>
        </w:rPr>
        <w:t xml:space="preserve">: Asking people with multiple sclerosis about enhancing their participation in physical activity. </w:t>
      </w:r>
      <w:r w:rsidRPr="00340E61">
        <w:rPr>
          <w:rFonts w:asciiTheme="majorHAnsi" w:hAnsiTheme="majorHAnsi" w:cs="Times New Roman"/>
          <w:sz w:val="18"/>
        </w:rPr>
        <w:t xml:space="preserve">Disabil Rehabil. 2012;34(22):1887–93. </w:t>
      </w:r>
    </w:p>
    <w:p w14:paraId="5A45972D" w14:textId="6A09D492"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Tabrizi FM, Radfar M. Fatigue, sleep quality, and disability in relation to quality of life in multiple sclerosis. </w:t>
      </w:r>
      <w:r w:rsidRPr="00340E61">
        <w:rPr>
          <w:rFonts w:asciiTheme="majorHAnsi" w:hAnsiTheme="majorHAnsi" w:cs="Times New Roman"/>
          <w:sz w:val="18"/>
        </w:rPr>
        <w:t xml:space="preserve">Int J MS Care. 2015;17(6):268–74. </w:t>
      </w:r>
    </w:p>
    <w:p w14:paraId="3AC56DCB" w14:textId="6FE20078"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9060DB">
        <w:rPr>
          <w:rFonts w:asciiTheme="majorHAnsi" w:hAnsiTheme="majorHAnsi" w:cs="Times New Roman"/>
          <w:sz w:val="18"/>
          <w:lang w:val="en-US"/>
        </w:rPr>
        <w:t xml:space="preserve">Virtanen A, Ruutiainen J, Aunola S. Effects of a 6-month exercise program on patients with multiple sclerosis: a randomized study. </w:t>
      </w:r>
      <w:r w:rsidRPr="00340E61">
        <w:rPr>
          <w:rFonts w:asciiTheme="majorHAnsi" w:hAnsiTheme="majorHAnsi" w:cs="Times New Roman"/>
          <w:sz w:val="18"/>
        </w:rPr>
        <w:t xml:space="preserve">Neurology. 2004;63(11):2034–8. </w:t>
      </w:r>
    </w:p>
    <w:p w14:paraId="4311D36C" w14:textId="081D7563" w:rsidR="00340E61" w:rsidRPr="00340E61" w:rsidRDefault="00340E61" w:rsidP="00340E61">
      <w:pPr>
        <w:pStyle w:val="Prrafodelista"/>
        <w:numPr>
          <w:ilvl w:val="0"/>
          <w:numId w:val="21"/>
        </w:numPr>
        <w:spacing w:after="0" w:line="240" w:lineRule="auto"/>
        <w:ind w:left="357" w:hanging="357"/>
        <w:jc w:val="both"/>
        <w:rPr>
          <w:rFonts w:asciiTheme="majorHAnsi" w:hAnsiTheme="majorHAnsi" w:cs="Times New Roman"/>
          <w:sz w:val="18"/>
        </w:rPr>
      </w:pPr>
      <w:r w:rsidRPr="00340E61">
        <w:rPr>
          <w:rFonts w:asciiTheme="majorHAnsi" w:hAnsiTheme="majorHAnsi" w:cs="Times New Roman"/>
          <w:sz w:val="18"/>
        </w:rPr>
        <w:t xml:space="preserve">Halabchi F, Alizadeh Z, Sahraian MA. Exercise prescription for patients with multiple sclerosis; potential benefits and practical recommendations. BMC Neurol. 2017;17(1):1–11. </w:t>
      </w:r>
    </w:p>
    <w:p w14:paraId="3FBC9809" w14:textId="52B896A2" w:rsidR="00FD09FB" w:rsidRPr="001B7941" w:rsidRDefault="00340E61" w:rsidP="002077D9">
      <w:pPr>
        <w:pStyle w:val="Prrafodelista"/>
        <w:numPr>
          <w:ilvl w:val="0"/>
          <w:numId w:val="21"/>
        </w:numPr>
        <w:spacing w:after="0" w:line="240" w:lineRule="auto"/>
        <w:ind w:left="357" w:hanging="357"/>
        <w:jc w:val="both"/>
        <w:rPr>
          <w:rFonts w:asciiTheme="majorHAnsi" w:eastAsia="Times New Roman" w:hAnsiTheme="majorHAnsi" w:cs="Times New Roman"/>
          <w:sz w:val="14"/>
          <w:szCs w:val="18"/>
        </w:rPr>
      </w:pPr>
      <w:r w:rsidRPr="001B7941">
        <w:rPr>
          <w:rFonts w:asciiTheme="majorHAnsi" w:hAnsiTheme="majorHAnsi" w:cs="Times New Roman"/>
          <w:sz w:val="18"/>
          <w:lang w:val="en-US"/>
        </w:rPr>
        <w:t xml:space="preserve">Dalgas U. Exercise therapy in multiple sclerosis and its effects on function and the brain. </w:t>
      </w:r>
      <w:r w:rsidRPr="001B7941">
        <w:rPr>
          <w:rFonts w:asciiTheme="majorHAnsi" w:hAnsiTheme="majorHAnsi" w:cs="Times New Roman"/>
          <w:sz w:val="18"/>
        </w:rPr>
        <w:t>Neurodegener Dis Manag. 2017;7(6):35–40.</w:t>
      </w:r>
    </w:p>
    <w:sectPr w:rsidR="00FD09FB" w:rsidRPr="001B7941" w:rsidSect="001B7941">
      <w:headerReference w:type="default" r:id="rId17"/>
      <w:endnotePr>
        <w:numFmt w:val="decimal"/>
      </w:endnotePr>
      <w:type w:val="continuous"/>
      <w:pgSz w:w="12240" w:h="15840"/>
      <w:pgMar w:top="851" w:right="851" w:bottom="709" w:left="709" w:header="397" w:footer="227" w:gutter="0"/>
      <w:cols w:num="2" w:space="2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354DF" w14:textId="77777777" w:rsidR="00893E1E" w:rsidRDefault="00893E1E" w:rsidP="00466188">
      <w:pPr>
        <w:spacing w:after="0" w:line="240" w:lineRule="auto"/>
      </w:pPr>
      <w:r>
        <w:separator/>
      </w:r>
    </w:p>
  </w:endnote>
  <w:endnote w:type="continuationSeparator" w:id="0">
    <w:p w14:paraId="743F3389" w14:textId="77777777" w:rsidR="00893E1E" w:rsidRDefault="00893E1E" w:rsidP="004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ERIV+JoannaMT">
    <w:altName w:val="Joanna"/>
    <w:panose1 w:val="00000000000000000000"/>
    <w:charset w:val="00"/>
    <w:family w:val="roman"/>
    <w:notTrueType/>
    <w:pitch w:val="default"/>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352341951"/>
      <w:docPartObj>
        <w:docPartGallery w:val="Page Numbers (Bottom of Page)"/>
        <w:docPartUnique/>
      </w:docPartObj>
    </w:sdtPr>
    <w:sdtEndPr>
      <w:rPr>
        <w:sz w:val="20"/>
      </w:rPr>
    </w:sdtEndPr>
    <w:sdtContent>
      <w:p w14:paraId="315F7165" w14:textId="591505D9" w:rsidR="00B81636" w:rsidRPr="006C7B0C" w:rsidRDefault="00B81636">
        <w:pPr>
          <w:pStyle w:val="Piedepgina"/>
          <w:jc w:val="center"/>
          <w:rPr>
            <w:sz w:val="20"/>
          </w:rPr>
        </w:pPr>
        <w:r w:rsidRPr="006C7B0C">
          <w:rPr>
            <w:color w:val="595959" w:themeColor="text1" w:themeTint="A6"/>
            <w:sz w:val="20"/>
            <w:lang w:val="es-ES"/>
          </w:rPr>
          <w:t>[</w:t>
        </w:r>
        <w:r w:rsidRPr="006C7B0C">
          <w:rPr>
            <w:color w:val="595959" w:themeColor="text1" w:themeTint="A6"/>
            <w:sz w:val="20"/>
          </w:rPr>
          <w:fldChar w:fldCharType="begin"/>
        </w:r>
        <w:r w:rsidRPr="006C7B0C">
          <w:rPr>
            <w:color w:val="595959" w:themeColor="text1" w:themeTint="A6"/>
            <w:sz w:val="20"/>
          </w:rPr>
          <w:instrText>PAGE   \* MERGEFORMAT</w:instrText>
        </w:r>
        <w:r w:rsidRPr="006C7B0C">
          <w:rPr>
            <w:color w:val="595959" w:themeColor="text1" w:themeTint="A6"/>
            <w:sz w:val="20"/>
          </w:rPr>
          <w:fldChar w:fldCharType="separate"/>
        </w:r>
        <w:r w:rsidR="001B7941" w:rsidRPr="001B7941">
          <w:rPr>
            <w:noProof/>
            <w:color w:val="595959" w:themeColor="text1" w:themeTint="A6"/>
            <w:sz w:val="20"/>
            <w:lang w:val="es-ES"/>
          </w:rPr>
          <w:t>227</w:t>
        </w:r>
        <w:r w:rsidRPr="006C7B0C">
          <w:rPr>
            <w:color w:val="595959" w:themeColor="text1" w:themeTint="A6"/>
            <w:sz w:val="20"/>
          </w:rPr>
          <w:fldChar w:fldCharType="end"/>
        </w:r>
        <w:r w:rsidRPr="006C7B0C">
          <w:rPr>
            <w:color w:val="595959" w:themeColor="text1" w:themeTint="A6"/>
            <w:sz w:val="20"/>
            <w:lang w:val="es-ES"/>
          </w:rPr>
          <w:t>]</w:t>
        </w:r>
      </w:p>
    </w:sdtContent>
  </w:sdt>
  <w:p w14:paraId="358DF6B9" w14:textId="77777777" w:rsidR="00B81636" w:rsidRDefault="00B816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lang w:val="es-ES"/>
      </w:rPr>
      <w:id w:val="445199441"/>
      <w:docPartObj>
        <w:docPartGallery w:val="Page Numbers (Bottom of Page)"/>
        <w:docPartUnique/>
      </w:docPartObj>
    </w:sdtPr>
    <w:sdtEndPr/>
    <w:sdtContent>
      <w:p w14:paraId="64D19E19" w14:textId="6934BABB" w:rsidR="00B81636" w:rsidRPr="00ED6E82" w:rsidRDefault="00B81636">
        <w:pPr>
          <w:pStyle w:val="Piedepgina"/>
          <w:jc w:val="center"/>
          <w:rPr>
            <w:color w:val="595959" w:themeColor="text1" w:themeTint="A6"/>
          </w:rPr>
        </w:pPr>
        <w:r w:rsidRPr="00ED6E82">
          <w:rPr>
            <w:color w:val="595959" w:themeColor="text1" w:themeTint="A6"/>
            <w:lang w:val="es-ES"/>
          </w:rPr>
          <w:t>[</w:t>
        </w:r>
        <w:r w:rsidRPr="00ED6E82">
          <w:rPr>
            <w:color w:val="595959" w:themeColor="text1" w:themeTint="A6"/>
          </w:rPr>
          <w:fldChar w:fldCharType="begin"/>
        </w:r>
        <w:r w:rsidRPr="00ED6E82">
          <w:rPr>
            <w:color w:val="595959" w:themeColor="text1" w:themeTint="A6"/>
          </w:rPr>
          <w:instrText>PAGE   \* MERGEFORMAT</w:instrText>
        </w:r>
        <w:r w:rsidRPr="00ED6E82">
          <w:rPr>
            <w:color w:val="595959" w:themeColor="text1" w:themeTint="A6"/>
          </w:rPr>
          <w:fldChar w:fldCharType="separate"/>
        </w:r>
        <w:r w:rsidR="001B7941" w:rsidRPr="001B7941">
          <w:rPr>
            <w:noProof/>
            <w:color w:val="595959" w:themeColor="text1" w:themeTint="A6"/>
            <w:lang w:val="es-ES"/>
          </w:rPr>
          <w:t>226</w:t>
        </w:r>
        <w:r w:rsidRPr="00ED6E82">
          <w:rPr>
            <w:color w:val="595959" w:themeColor="text1" w:themeTint="A6"/>
          </w:rPr>
          <w:fldChar w:fldCharType="end"/>
        </w:r>
        <w:r w:rsidRPr="00ED6E82">
          <w:rPr>
            <w:color w:val="595959" w:themeColor="text1" w:themeTint="A6"/>
            <w:lang w:val="es-ES"/>
          </w:rPr>
          <w:t>]</w:t>
        </w:r>
      </w:p>
    </w:sdtContent>
  </w:sdt>
  <w:p w14:paraId="58AB085C" w14:textId="77777777" w:rsidR="00B81636" w:rsidRDefault="00B816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746D6" w14:textId="77777777" w:rsidR="00893E1E" w:rsidRDefault="00893E1E" w:rsidP="00466188">
      <w:pPr>
        <w:spacing w:after="0" w:line="240" w:lineRule="auto"/>
      </w:pPr>
      <w:r>
        <w:separator/>
      </w:r>
    </w:p>
  </w:footnote>
  <w:footnote w:type="continuationSeparator" w:id="0">
    <w:p w14:paraId="1175588D" w14:textId="77777777" w:rsidR="00893E1E" w:rsidRDefault="00893E1E" w:rsidP="004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9286" w14:textId="172277DD" w:rsidR="00B81636" w:rsidRPr="00F97E6F" w:rsidRDefault="00B81636" w:rsidP="00ED6E82">
    <w:pPr>
      <w:pStyle w:val="Encabezado"/>
      <w:jc w:val="center"/>
      <w:rPr>
        <w:rFonts w:asciiTheme="majorHAnsi" w:hAnsiTheme="majorHAnsi"/>
        <w:color w:val="595959" w:themeColor="text1" w:themeTint="A6"/>
        <w:sz w:val="20"/>
        <w:szCs w:val="20"/>
      </w:rPr>
    </w:pPr>
    <w:r w:rsidRPr="0070304A">
      <w:rPr>
        <w:rFonts w:asciiTheme="majorHAnsi" w:hAnsiTheme="majorHAnsi"/>
        <w:color w:val="595959" w:themeColor="text1" w:themeTint="A6"/>
        <w:sz w:val="15"/>
        <w:szCs w:val="15"/>
      </w:rPr>
      <w:t>Trujillo-Trejos</w:t>
    </w:r>
    <w:r>
      <w:rPr>
        <w:rFonts w:asciiTheme="majorHAnsi" w:hAnsiTheme="majorHAnsi"/>
        <w:color w:val="595959" w:themeColor="text1" w:themeTint="A6"/>
        <w:sz w:val="15"/>
        <w:szCs w:val="15"/>
      </w:rPr>
      <w:t xml:space="preserve"> I</w:t>
    </w:r>
    <w:r w:rsidRPr="00F97E6F">
      <w:rPr>
        <w:rFonts w:asciiTheme="majorHAnsi" w:hAnsiTheme="majorHAnsi"/>
        <w:color w:val="595959" w:themeColor="text1" w:themeTint="A6"/>
        <w:sz w:val="15"/>
        <w:szCs w:val="15"/>
      </w:rPr>
      <w:t xml:space="preserve">, </w:t>
    </w:r>
    <w:r w:rsidRPr="00F97E6F">
      <w:rPr>
        <w:rFonts w:asciiTheme="majorHAnsi" w:hAnsiTheme="majorHAnsi"/>
        <w:i/>
        <w:color w:val="595959" w:themeColor="text1" w:themeTint="A6"/>
        <w:sz w:val="15"/>
        <w:szCs w:val="15"/>
      </w:rPr>
      <w:t>et al</w:t>
    </w:r>
    <w:r w:rsidRPr="00F97E6F">
      <w:rPr>
        <w:rFonts w:asciiTheme="majorHAnsi" w:hAnsiTheme="majorHAnsi"/>
        <w:color w:val="595959" w:themeColor="text1" w:themeTint="A6"/>
        <w:sz w:val="15"/>
        <w:szCs w:val="15"/>
      </w:rPr>
      <w:t>. Univ. Salud. 2</w:t>
    </w:r>
    <w:r>
      <w:rPr>
        <w:rFonts w:asciiTheme="majorHAnsi" w:hAnsiTheme="majorHAnsi"/>
        <w:color w:val="595959" w:themeColor="text1" w:themeTint="A6"/>
        <w:sz w:val="15"/>
        <w:szCs w:val="15"/>
      </w:rPr>
      <w:t>1</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2</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00</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00</w:t>
    </w:r>
    <w:r w:rsidRPr="00F97E6F">
      <w:rPr>
        <w:rFonts w:asciiTheme="majorHAnsi" w:hAnsiTheme="majorHAnsi"/>
        <w:color w:val="595959" w:themeColor="text1" w:themeTint="A6"/>
        <w:sz w:val="15"/>
        <w:szCs w:val="15"/>
      </w:rPr>
      <w:t>, 201</w:t>
    </w:r>
    <w:r>
      <w:rPr>
        <w:rFonts w:asciiTheme="majorHAnsi" w:hAnsiTheme="majorHAnsi"/>
        <w:color w:val="595959" w:themeColor="text1" w:themeTint="A6"/>
        <w:sz w:val="15"/>
        <w:szCs w:val="15"/>
      </w:rPr>
      <w:t>9</w:t>
    </w:r>
    <w:r w:rsidRPr="00F97E6F">
      <w:rPr>
        <w:rFonts w:asciiTheme="majorHAnsi" w:hAnsiTheme="majorHAnsi"/>
        <w:color w:val="595959" w:themeColor="text1" w:themeTint="A6"/>
        <w:sz w:val="15"/>
        <w:szCs w:val="15"/>
      </w:rPr>
      <w:t xml:space="preserve"> (</w:t>
    </w:r>
    <w:r>
      <w:rPr>
        <w:rFonts w:asciiTheme="majorHAnsi" w:hAnsiTheme="majorHAnsi"/>
        <w:color w:val="595959" w:themeColor="text1" w:themeTint="A6"/>
        <w:sz w:val="15"/>
        <w:szCs w:val="15"/>
      </w:rPr>
      <w:t>May</w:t>
    </w:r>
    <w:r w:rsidRPr="00F97E6F">
      <w:rPr>
        <w:rFonts w:asciiTheme="majorHAnsi" w:hAnsiTheme="majorHAnsi"/>
        <w:color w:val="595959" w:themeColor="text1" w:themeTint="A6"/>
        <w:sz w:val="15"/>
        <w:szCs w:val="15"/>
      </w:rPr>
      <w:t xml:space="preserve"> - </w:t>
    </w:r>
    <w:r>
      <w:rPr>
        <w:rFonts w:asciiTheme="majorHAnsi" w:hAnsiTheme="majorHAnsi"/>
        <w:color w:val="595959" w:themeColor="text1" w:themeTint="A6"/>
        <w:sz w:val="15"/>
        <w:szCs w:val="15"/>
      </w:rPr>
      <w:t>Ago</w:t>
    </w:r>
    <w:r w:rsidRPr="00F97E6F">
      <w:rPr>
        <w:rFonts w:asciiTheme="majorHAnsi" w:hAnsiTheme="majorHAnsi"/>
        <w:color w:val="595959" w:themeColor="text1" w:themeTint="A6"/>
        <w:sz w:val="15"/>
        <w:szCs w:val="15"/>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350B" w14:textId="1589E471" w:rsidR="00B81636" w:rsidRPr="009060DB" w:rsidRDefault="00B81636" w:rsidP="009060DB">
    <w:pPr>
      <w:pStyle w:val="Encabezado"/>
      <w:jc w:val="center"/>
      <w:rPr>
        <w:rFonts w:asciiTheme="majorHAnsi" w:hAnsiTheme="majorHAnsi"/>
        <w:i/>
        <w:color w:val="595959" w:themeColor="text1" w:themeTint="A6"/>
        <w:sz w:val="15"/>
        <w:szCs w:val="15"/>
      </w:rPr>
    </w:pPr>
    <w:r w:rsidRPr="00BE0A84">
      <w:rPr>
        <w:rFonts w:asciiTheme="majorHAnsi" w:hAnsiTheme="majorHAnsi"/>
        <w:i/>
        <w:color w:val="595959" w:themeColor="text1" w:themeTint="A6"/>
        <w:sz w:val="15"/>
        <w:szCs w:val="15"/>
      </w:rPr>
      <w:t>Orozco-González C, et al. Univ. Salud. 21(</w:t>
    </w:r>
    <w:r>
      <w:rPr>
        <w:rFonts w:asciiTheme="majorHAnsi" w:hAnsiTheme="majorHAnsi"/>
        <w:i/>
        <w:color w:val="595959" w:themeColor="text1" w:themeTint="A6"/>
        <w:sz w:val="15"/>
        <w:szCs w:val="15"/>
      </w:rPr>
      <w:t>3</w:t>
    </w:r>
    <w:r w:rsidRPr="00BE0A84">
      <w:rPr>
        <w:rFonts w:asciiTheme="majorHAnsi" w:hAnsiTheme="majorHAnsi"/>
        <w:i/>
        <w:color w:val="595959" w:themeColor="text1" w:themeTint="A6"/>
        <w:sz w:val="15"/>
        <w:szCs w:val="15"/>
      </w:rPr>
      <w:t>):</w:t>
    </w:r>
    <w:r>
      <w:rPr>
        <w:rFonts w:asciiTheme="majorHAnsi" w:hAnsiTheme="majorHAnsi"/>
        <w:i/>
        <w:color w:val="595959" w:themeColor="text1" w:themeTint="A6"/>
        <w:sz w:val="15"/>
        <w:szCs w:val="15"/>
      </w:rPr>
      <w:t>226</w:t>
    </w:r>
    <w:r w:rsidRPr="00BE0A84">
      <w:rPr>
        <w:rFonts w:asciiTheme="majorHAnsi" w:hAnsiTheme="majorHAnsi"/>
        <w:i/>
        <w:color w:val="595959" w:themeColor="text1" w:themeTint="A6"/>
        <w:sz w:val="15"/>
        <w:szCs w:val="15"/>
      </w:rPr>
      <w:t>-</w:t>
    </w:r>
    <w:r>
      <w:rPr>
        <w:rFonts w:asciiTheme="majorHAnsi" w:hAnsiTheme="majorHAnsi"/>
        <w:i/>
        <w:color w:val="595959" w:themeColor="text1" w:themeTint="A6"/>
        <w:sz w:val="15"/>
        <w:szCs w:val="15"/>
      </w:rPr>
      <w:t>234</w:t>
    </w:r>
    <w:r w:rsidRPr="00BE0A84">
      <w:rPr>
        <w:rFonts w:asciiTheme="majorHAnsi" w:hAnsiTheme="majorHAnsi"/>
        <w:i/>
        <w:color w:val="595959" w:themeColor="text1" w:themeTint="A6"/>
        <w:sz w:val="15"/>
        <w:szCs w:val="15"/>
      </w:rPr>
      <w:t>, 2019 (</w:t>
    </w:r>
    <w:r>
      <w:rPr>
        <w:rFonts w:asciiTheme="majorHAnsi" w:hAnsiTheme="majorHAnsi"/>
        <w:i/>
        <w:color w:val="595959" w:themeColor="text1" w:themeTint="A6"/>
        <w:sz w:val="15"/>
        <w:szCs w:val="15"/>
      </w:rPr>
      <w:t>Sept</w:t>
    </w:r>
    <w:r w:rsidRPr="00BE0A84">
      <w:rPr>
        <w:rFonts w:asciiTheme="majorHAnsi" w:hAnsiTheme="majorHAnsi"/>
        <w:i/>
        <w:color w:val="595959" w:themeColor="text1" w:themeTint="A6"/>
        <w:sz w:val="15"/>
        <w:szCs w:val="15"/>
      </w:rPr>
      <w:t xml:space="preserve"> - </w:t>
    </w:r>
    <w:r>
      <w:rPr>
        <w:rFonts w:asciiTheme="majorHAnsi" w:hAnsiTheme="majorHAnsi"/>
        <w:i/>
        <w:color w:val="595959" w:themeColor="text1" w:themeTint="A6"/>
        <w:sz w:val="15"/>
        <w:szCs w:val="15"/>
      </w:rPr>
      <w:t>Dic</w:t>
    </w:r>
    <w:r w:rsidRPr="00BE0A84">
      <w:rPr>
        <w:rFonts w:asciiTheme="majorHAnsi" w:hAnsiTheme="majorHAnsi"/>
        <w:i/>
        <w:color w:val="595959" w:themeColor="text1" w:themeTint="A6"/>
        <w:sz w:val="15"/>
        <w:szCs w:val="15"/>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A1"/>
    <w:multiLevelType w:val="hybridMultilevel"/>
    <w:tmpl w:val="8264BB28"/>
    <w:lvl w:ilvl="0" w:tplc="76F06BE0">
      <w:start w:val="1"/>
      <w:numFmt w:val="decimal"/>
      <w:lvlText w:val="%1."/>
      <w:lvlJc w:val="left"/>
      <w:pPr>
        <w:ind w:left="1110" w:hanging="75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292802"/>
    <w:multiLevelType w:val="hybridMultilevel"/>
    <w:tmpl w:val="436E5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DA74A0"/>
    <w:multiLevelType w:val="hybridMultilevel"/>
    <w:tmpl w:val="DCCE4950"/>
    <w:lvl w:ilvl="0" w:tplc="DEA8761E">
      <w:start w:val="1"/>
      <w:numFmt w:val="decimal"/>
      <w:lvlText w:val="%1."/>
      <w:lvlJc w:val="left"/>
      <w:pPr>
        <w:ind w:left="1410" w:hanging="705"/>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nsid w:val="221360C8"/>
    <w:multiLevelType w:val="hybridMultilevel"/>
    <w:tmpl w:val="3190B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6AD6B9F"/>
    <w:multiLevelType w:val="hybridMultilevel"/>
    <w:tmpl w:val="9E4099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87D7480"/>
    <w:multiLevelType w:val="hybridMultilevel"/>
    <w:tmpl w:val="25B613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8D65CA1"/>
    <w:multiLevelType w:val="hybridMultilevel"/>
    <w:tmpl w:val="AF0E5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1C87CA3"/>
    <w:multiLevelType w:val="hybridMultilevel"/>
    <w:tmpl w:val="A43E6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DF40948"/>
    <w:multiLevelType w:val="hybridMultilevel"/>
    <w:tmpl w:val="72F6D2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F513754"/>
    <w:multiLevelType w:val="multilevel"/>
    <w:tmpl w:val="CAB28EFC"/>
    <w:lvl w:ilvl="0">
      <w:start w:val="1"/>
      <w:numFmt w:val="decimal"/>
      <w:lvlText w:val="%1."/>
      <w:lvlJc w:val="left"/>
      <w:pPr>
        <w:ind w:left="720" w:firstLine="1080"/>
      </w:pPr>
      <w:rPr>
        <w:color w:val="000000"/>
        <w:sz w:val="18"/>
        <w:szCs w:val="18"/>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10">
    <w:nsid w:val="46E9235A"/>
    <w:multiLevelType w:val="hybridMultilevel"/>
    <w:tmpl w:val="E7BCB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88C72EB"/>
    <w:multiLevelType w:val="hybridMultilevel"/>
    <w:tmpl w:val="4A00646C"/>
    <w:lvl w:ilvl="0" w:tplc="6A5CCD8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4E170F9D"/>
    <w:multiLevelType w:val="hybridMultilevel"/>
    <w:tmpl w:val="56709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0FD51C2"/>
    <w:multiLevelType w:val="hybridMultilevel"/>
    <w:tmpl w:val="702CA258"/>
    <w:lvl w:ilvl="0" w:tplc="095C660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14A5BC1"/>
    <w:multiLevelType w:val="hybridMultilevel"/>
    <w:tmpl w:val="9B7C8C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63D172E"/>
    <w:multiLevelType w:val="hybridMultilevel"/>
    <w:tmpl w:val="C6FA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8E3482E"/>
    <w:multiLevelType w:val="hybridMultilevel"/>
    <w:tmpl w:val="A8928324"/>
    <w:lvl w:ilvl="0" w:tplc="A3069CD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F1157B4"/>
    <w:multiLevelType w:val="hybridMultilevel"/>
    <w:tmpl w:val="FAE0033C"/>
    <w:lvl w:ilvl="0" w:tplc="F5322C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2B31AFB"/>
    <w:multiLevelType w:val="hybridMultilevel"/>
    <w:tmpl w:val="E640E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30C69D5"/>
    <w:multiLevelType w:val="hybridMultilevel"/>
    <w:tmpl w:val="8D80E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9982122"/>
    <w:multiLevelType w:val="hybridMultilevel"/>
    <w:tmpl w:val="3528A094"/>
    <w:lvl w:ilvl="0" w:tplc="D0E0B43C">
      <w:start w:val="1"/>
      <w:numFmt w:val="decimal"/>
      <w:lvlText w:val="%1."/>
      <w:lvlJc w:val="left"/>
      <w:pPr>
        <w:ind w:left="720" w:hanging="360"/>
      </w:pPr>
      <w:rPr>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6"/>
  </w:num>
  <w:num w:numId="3">
    <w:abstractNumId w:val="3"/>
  </w:num>
  <w:num w:numId="4">
    <w:abstractNumId w:val="11"/>
  </w:num>
  <w:num w:numId="5">
    <w:abstractNumId w:val="7"/>
  </w:num>
  <w:num w:numId="6">
    <w:abstractNumId w:val="17"/>
  </w:num>
  <w:num w:numId="7">
    <w:abstractNumId w:val="1"/>
  </w:num>
  <w:num w:numId="8">
    <w:abstractNumId w:val="0"/>
  </w:num>
  <w:num w:numId="9">
    <w:abstractNumId w:val="20"/>
  </w:num>
  <w:num w:numId="10">
    <w:abstractNumId w:val="9"/>
  </w:num>
  <w:num w:numId="11">
    <w:abstractNumId w:val="19"/>
  </w:num>
  <w:num w:numId="12">
    <w:abstractNumId w:val="6"/>
  </w:num>
  <w:num w:numId="13">
    <w:abstractNumId w:val="13"/>
  </w:num>
  <w:num w:numId="14">
    <w:abstractNumId w:val="10"/>
  </w:num>
  <w:num w:numId="15">
    <w:abstractNumId w:val="2"/>
  </w:num>
  <w:num w:numId="16">
    <w:abstractNumId w:val="14"/>
  </w:num>
  <w:num w:numId="17">
    <w:abstractNumId w:val="4"/>
  </w:num>
  <w:num w:numId="18">
    <w:abstractNumId w:val="12"/>
  </w:num>
  <w:num w:numId="19">
    <w:abstractNumId w:val="18"/>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0"/>
  <w:activeWritingStyle w:appName="MSWord" w:lang="en-US" w:vendorID="64" w:dllVersion="6" w:nlCheck="1" w:checkStyle="0"/>
  <w:activeWritingStyle w:appName="MSWord" w:lang="en-029" w:vendorID="64" w:dllVersion="6" w:nlCheck="1" w:checkStyle="0"/>
  <w:activeWritingStyle w:appName="MSWord" w:lang="es-CO"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s-MX" w:vendorID="64" w:dllVersion="4096" w:nlCheck="1" w:checkStyle="0"/>
  <w:activeWritingStyle w:appName="MSWord" w:lang="en-US" w:vendorID="64" w:dllVersion="4096" w:nlCheck="1" w:checkStyle="0"/>
  <w:activeWritingStyle w:appName="MSWord" w:lang="en-029"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n-US" w:vendorID="64" w:dllVersion="131078" w:nlCheck="1" w:checkStyle="0"/>
  <w:activeWritingStyle w:appName="MSWord" w:lang="en-029" w:vendorID="64" w:dllVersion="131078" w:nlCheck="1" w:checkStyle="0"/>
  <w:activeWritingStyle w:appName="MSWord" w:lang="es-CO"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B"/>
    <w:rsid w:val="0000076F"/>
    <w:rsid w:val="00000B0F"/>
    <w:rsid w:val="0000119A"/>
    <w:rsid w:val="00001E8E"/>
    <w:rsid w:val="00011D55"/>
    <w:rsid w:val="00012AF2"/>
    <w:rsid w:val="00014338"/>
    <w:rsid w:val="000143F9"/>
    <w:rsid w:val="0001474F"/>
    <w:rsid w:val="00014942"/>
    <w:rsid w:val="000157E1"/>
    <w:rsid w:val="000209AF"/>
    <w:rsid w:val="00024F26"/>
    <w:rsid w:val="00025268"/>
    <w:rsid w:val="00027D68"/>
    <w:rsid w:val="00030628"/>
    <w:rsid w:val="000319BE"/>
    <w:rsid w:val="0003282B"/>
    <w:rsid w:val="00035ACA"/>
    <w:rsid w:val="000413FB"/>
    <w:rsid w:val="0004203D"/>
    <w:rsid w:val="00044D39"/>
    <w:rsid w:val="00050082"/>
    <w:rsid w:val="0005143B"/>
    <w:rsid w:val="00051D86"/>
    <w:rsid w:val="00052119"/>
    <w:rsid w:val="000527BE"/>
    <w:rsid w:val="0005414B"/>
    <w:rsid w:val="0006767D"/>
    <w:rsid w:val="00067E0B"/>
    <w:rsid w:val="00072A7E"/>
    <w:rsid w:val="00073D6D"/>
    <w:rsid w:val="0007470D"/>
    <w:rsid w:val="00074B1E"/>
    <w:rsid w:val="00081333"/>
    <w:rsid w:val="0008295E"/>
    <w:rsid w:val="00083333"/>
    <w:rsid w:val="000836D0"/>
    <w:rsid w:val="00085FDE"/>
    <w:rsid w:val="00087334"/>
    <w:rsid w:val="00090765"/>
    <w:rsid w:val="00090991"/>
    <w:rsid w:val="00091F56"/>
    <w:rsid w:val="00093A2C"/>
    <w:rsid w:val="00094957"/>
    <w:rsid w:val="00097139"/>
    <w:rsid w:val="000974B7"/>
    <w:rsid w:val="000977A2"/>
    <w:rsid w:val="000A00CD"/>
    <w:rsid w:val="000A1A85"/>
    <w:rsid w:val="000A25EE"/>
    <w:rsid w:val="000A3F16"/>
    <w:rsid w:val="000A4220"/>
    <w:rsid w:val="000A4A51"/>
    <w:rsid w:val="000A6CA3"/>
    <w:rsid w:val="000B277C"/>
    <w:rsid w:val="000B3DFC"/>
    <w:rsid w:val="000B6D49"/>
    <w:rsid w:val="000B6F1C"/>
    <w:rsid w:val="000B7004"/>
    <w:rsid w:val="000B726B"/>
    <w:rsid w:val="000C00FD"/>
    <w:rsid w:val="000C6F94"/>
    <w:rsid w:val="000D7356"/>
    <w:rsid w:val="000E148D"/>
    <w:rsid w:val="000E1713"/>
    <w:rsid w:val="000E201E"/>
    <w:rsid w:val="000E4313"/>
    <w:rsid w:val="000E4AD9"/>
    <w:rsid w:val="000E79E6"/>
    <w:rsid w:val="000F1FE5"/>
    <w:rsid w:val="000F2407"/>
    <w:rsid w:val="000F4C39"/>
    <w:rsid w:val="000F5E0E"/>
    <w:rsid w:val="000F7192"/>
    <w:rsid w:val="000F7879"/>
    <w:rsid w:val="00100453"/>
    <w:rsid w:val="0010167C"/>
    <w:rsid w:val="001023FB"/>
    <w:rsid w:val="00102A25"/>
    <w:rsid w:val="00103AA0"/>
    <w:rsid w:val="00103B26"/>
    <w:rsid w:val="00104E6B"/>
    <w:rsid w:val="0011076B"/>
    <w:rsid w:val="00110BFF"/>
    <w:rsid w:val="001114AE"/>
    <w:rsid w:val="001146BA"/>
    <w:rsid w:val="00117305"/>
    <w:rsid w:val="00121393"/>
    <w:rsid w:val="00121902"/>
    <w:rsid w:val="001219A0"/>
    <w:rsid w:val="00122094"/>
    <w:rsid w:val="001223B3"/>
    <w:rsid w:val="00124A8F"/>
    <w:rsid w:val="001252C0"/>
    <w:rsid w:val="001277FD"/>
    <w:rsid w:val="00130593"/>
    <w:rsid w:val="0013157C"/>
    <w:rsid w:val="00132A3B"/>
    <w:rsid w:val="00133FCD"/>
    <w:rsid w:val="00134D3D"/>
    <w:rsid w:val="0013672A"/>
    <w:rsid w:val="00137B00"/>
    <w:rsid w:val="00141A77"/>
    <w:rsid w:val="00142E92"/>
    <w:rsid w:val="00151AF7"/>
    <w:rsid w:val="001521CC"/>
    <w:rsid w:val="00153F9B"/>
    <w:rsid w:val="00154642"/>
    <w:rsid w:val="001555C9"/>
    <w:rsid w:val="00156B62"/>
    <w:rsid w:val="00157A64"/>
    <w:rsid w:val="00157DFF"/>
    <w:rsid w:val="00161581"/>
    <w:rsid w:val="00161F37"/>
    <w:rsid w:val="00162438"/>
    <w:rsid w:val="00164AAA"/>
    <w:rsid w:val="00172486"/>
    <w:rsid w:val="001734E6"/>
    <w:rsid w:val="00174C49"/>
    <w:rsid w:val="00177335"/>
    <w:rsid w:val="00177531"/>
    <w:rsid w:val="00180908"/>
    <w:rsid w:val="00183319"/>
    <w:rsid w:val="00184371"/>
    <w:rsid w:val="00193399"/>
    <w:rsid w:val="001943AB"/>
    <w:rsid w:val="0019477D"/>
    <w:rsid w:val="00197C1F"/>
    <w:rsid w:val="001A0CD2"/>
    <w:rsid w:val="001A0E31"/>
    <w:rsid w:val="001A4355"/>
    <w:rsid w:val="001A4B17"/>
    <w:rsid w:val="001A65B3"/>
    <w:rsid w:val="001A7B04"/>
    <w:rsid w:val="001A7BD4"/>
    <w:rsid w:val="001A7CBD"/>
    <w:rsid w:val="001B50DE"/>
    <w:rsid w:val="001B6F6B"/>
    <w:rsid w:val="001B792B"/>
    <w:rsid w:val="001B7941"/>
    <w:rsid w:val="001B7A81"/>
    <w:rsid w:val="001B7E8F"/>
    <w:rsid w:val="001C0454"/>
    <w:rsid w:val="001C13D8"/>
    <w:rsid w:val="001C2322"/>
    <w:rsid w:val="001C24DF"/>
    <w:rsid w:val="001C26C9"/>
    <w:rsid w:val="001C315A"/>
    <w:rsid w:val="001C33DF"/>
    <w:rsid w:val="001C3613"/>
    <w:rsid w:val="001C5D78"/>
    <w:rsid w:val="001C6893"/>
    <w:rsid w:val="001C69F5"/>
    <w:rsid w:val="001C6D7D"/>
    <w:rsid w:val="001D1B58"/>
    <w:rsid w:val="001D26D8"/>
    <w:rsid w:val="001D41D5"/>
    <w:rsid w:val="001D4EBA"/>
    <w:rsid w:val="001D57B7"/>
    <w:rsid w:val="001D5EAC"/>
    <w:rsid w:val="001D6B72"/>
    <w:rsid w:val="001E2224"/>
    <w:rsid w:val="001E3E16"/>
    <w:rsid w:val="001E6EA1"/>
    <w:rsid w:val="001F04A6"/>
    <w:rsid w:val="001F065A"/>
    <w:rsid w:val="001F10C7"/>
    <w:rsid w:val="001F2DAA"/>
    <w:rsid w:val="001F4C44"/>
    <w:rsid w:val="001F5A09"/>
    <w:rsid w:val="00204C63"/>
    <w:rsid w:val="00206700"/>
    <w:rsid w:val="00215316"/>
    <w:rsid w:val="0022595C"/>
    <w:rsid w:val="00232118"/>
    <w:rsid w:val="00240AC3"/>
    <w:rsid w:val="002416BD"/>
    <w:rsid w:val="00244E9D"/>
    <w:rsid w:val="00245127"/>
    <w:rsid w:val="002458C6"/>
    <w:rsid w:val="002475ED"/>
    <w:rsid w:val="00247719"/>
    <w:rsid w:val="00250998"/>
    <w:rsid w:val="002514EE"/>
    <w:rsid w:val="00251A9C"/>
    <w:rsid w:val="00251F53"/>
    <w:rsid w:val="00255586"/>
    <w:rsid w:val="00257CDB"/>
    <w:rsid w:val="00260024"/>
    <w:rsid w:val="0026018D"/>
    <w:rsid w:val="0026302D"/>
    <w:rsid w:val="002650DA"/>
    <w:rsid w:val="002679BC"/>
    <w:rsid w:val="00267F70"/>
    <w:rsid w:val="0027284F"/>
    <w:rsid w:val="00272C66"/>
    <w:rsid w:val="00272FBE"/>
    <w:rsid w:val="0027330F"/>
    <w:rsid w:val="00273438"/>
    <w:rsid w:val="002745A6"/>
    <w:rsid w:val="0027507A"/>
    <w:rsid w:val="00276CC5"/>
    <w:rsid w:val="00283CD8"/>
    <w:rsid w:val="00285CA7"/>
    <w:rsid w:val="002878F1"/>
    <w:rsid w:val="002901BE"/>
    <w:rsid w:val="00294E27"/>
    <w:rsid w:val="002A335A"/>
    <w:rsid w:val="002A350C"/>
    <w:rsid w:val="002B192D"/>
    <w:rsid w:val="002B3A2B"/>
    <w:rsid w:val="002B4B10"/>
    <w:rsid w:val="002B5218"/>
    <w:rsid w:val="002B56F3"/>
    <w:rsid w:val="002B58DF"/>
    <w:rsid w:val="002B69A4"/>
    <w:rsid w:val="002C149B"/>
    <w:rsid w:val="002C2B9C"/>
    <w:rsid w:val="002C439B"/>
    <w:rsid w:val="002D0D5B"/>
    <w:rsid w:val="002D1146"/>
    <w:rsid w:val="002D1A64"/>
    <w:rsid w:val="002D24C0"/>
    <w:rsid w:val="002D4B7A"/>
    <w:rsid w:val="002E1DE6"/>
    <w:rsid w:val="002E2310"/>
    <w:rsid w:val="002E24B6"/>
    <w:rsid w:val="002E2B36"/>
    <w:rsid w:val="002E3B5F"/>
    <w:rsid w:val="002E5DAF"/>
    <w:rsid w:val="002F3F4C"/>
    <w:rsid w:val="002F7541"/>
    <w:rsid w:val="00302FD2"/>
    <w:rsid w:val="003039E5"/>
    <w:rsid w:val="0030649C"/>
    <w:rsid w:val="00307B53"/>
    <w:rsid w:val="00307C94"/>
    <w:rsid w:val="00307D2F"/>
    <w:rsid w:val="003127F2"/>
    <w:rsid w:val="00315130"/>
    <w:rsid w:val="003205EF"/>
    <w:rsid w:val="00322C93"/>
    <w:rsid w:val="00325F6E"/>
    <w:rsid w:val="00326CD5"/>
    <w:rsid w:val="00331825"/>
    <w:rsid w:val="00331E22"/>
    <w:rsid w:val="00333DF1"/>
    <w:rsid w:val="00340D2C"/>
    <w:rsid w:val="00340E61"/>
    <w:rsid w:val="00341823"/>
    <w:rsid w:val="00342225"/>
    <w:rsid w:val="0035084D"/>
    <w:rsid w:val="003536A2"/>
    <w:rsid w:val="00353E1C"/>
    <w:rsid w:val="003551DF"/>
    <w:rsid w:val="00356722"/>
    <w:rsid w:val="00362FA6"/>
    <w:rsid w:val="0036344E"/>
    <w:rsid w:val="00365B24"/>
    <w:rsid w:val="003672BE"/>
    <w:rsid w:val="00372AF6"/>
    <w:rsid w:val="0037577E"/>
    <w:rsid w:val="00380540"/>
    <w:rsid w:val="00381D23"/>
    <w:rsid w:val="00382680"/>
    <w:rsid w:val="00383DB2"/>
    <w:rsid w:val="00385C70"/>
    <w:rsid w:val="003871CE"/>
    <w:rsid w:val="00387665"/>
    <w:rsid w:val="003900D4"/>
    <w:rsid w:val="00391035"/>
    <w:rsid w:val="0039305F"/>
    <w:rsid w:val="003930F6"/>
    <w:rsid w:val="00394A0A"/>
    <w:rsid w:val="00395BBB"/>
    <w:rsid w:val="003961A2"/>
    <w:rsid w:val="003A0036"/>
    <w:rsid w:val="003A0BA5"/>
    <w:rsid w:val="003A1D0B"/>
    <w:rsid w:val="003A1EB3"/>
    <w:rsid w:val="003A62E5"/>
    <w:rsid w:val="003A6783"/>
    <w:rsid w:val="003B3A67"/>
    <w:rsid w:val="003B4D35"/>
    <w:rsid w:val="003B5DDB"/>
    <w:rsid w:val="003D4518"/>
    <w:rsid w:val="003D6B72"/>
    <w:rsid w:val="003D7BBC"/>
    <w:rsid w:val="003E13D3"/>
    <w:rsid w:val="003E151D"/>
    <w:rsid w:val="003E1805"/>
    <w:rsid w:val="003E2489"/>
    <w:rsid w:val="003E5BA3"/>
    <w:rsid w:val="003E7FC5"/>
    <w:rsid w:val="003F06B8"/>
    <w:rsid w:val="003F46BF"/>
    <w:rsid w:val="003F56EE"/>
    <w:rsid w:val="003F6A1B"/>
    <w:rsid w:val="00400F7B"/>
    <w:rsid w:val="00401874"/>
    <w:rsid w:val="00402497"/>
    <w:rsid w:val="00402564"/>
    <w:rsid w:val="00402752"/>
    <w:rsid w:val="00403D7B"/>
    <w:rsid w:val="00404AF5"/>
    <w:rsid w:val="00410ABA"/>
    <w:rsid w:val="00421E71"/>
    <w:rsid w:val="00421FAF"/>
    <w:rsid w:val="00422155"/>
    <w:rsid w:val="004226D0"/>
    <w:rsid w:val="00425587"/>
    <w:rsid w:val="0042607F"/>
    <w:rsid w:val="00431D89"/>
    <w:rsid w:val="00432208"/>
    <w:rsid w:val="004322E7"/>
    <w:rsid w:val="004325D8"/>
    <w:rsid w:val="0043274B"/>
    <w:rsid w:val="00432833"/>
    <w:rsid w:val="00433D7E"/>
    <w:rsid w:val="0043414D"/>
    <w:rsid w:val="00440AB3"/>
    <w:rsid w:val="00441CBE"/>
    <w:rsid w:val="00446117"/>
    <w:rsid w:val="00446768"/>
    <w:rsid w:val="00447783"/>
    <w:rsid w:val="004518A4"/>
    <w:rsid w:val="00453121"/>
    <w:rsid w:val="00453858"/>
    <w:rsid w:val="00453918"/>
    <w:rsid w:val="004544D1"/>
    <w:rsid w:val="004569FF"/>
    <w:rsid w:val="0045726E"/>
    <w:rsid w:val="00457ECB"/>
    <w:rsid w:val="004637EE"/>
    <w:rsid w:val="00465B7A"/>
    <w:rsid w:val="00466188"/>
    <w:rsid w:val="0047204D"/>
    <w:rsid w:val="004751A9"/>
    <w:rsid w:val="00476740"/>
    <w:rsid w:val="004776B3"/>
    <w:rsid w:val="00484A3C"/>
    <w:rsid w:val="00486448"/>
    <w:rsid w:val="004910E0"/>
    <w:rsid w:val="004A04A2"/>
    <w:rsid w:val="004A0A0A"/>
    <w:rsid w:val="004A0E0B"/>
    <w:rsid w:val="004A389C"/>
    <w:rsid w:val="004A5CF7"/>
    <w:rsid w:val="004A647B"/>
    <w:rsid w:val="004B19EA"/>
    <w:rsid w:val="004B4BB6"/>
    <w:rsid w:val="004B5F0C"/>
    <w:rsid w:val="004B606D"/>
    <w:rsid w:val="004B66A1"/>
    <w:rsid w:val="004B6841"/>
    <w:rsid w:val="004B7E3D"/>
    <w:rsid w:val="004C4295"/>
    <w:rsid w:val="004C4876"/>
    <w:rsid w:val="004C6770"/>
    <w:rsid w:val="004C7488"/>
    <w:rsid w:val="004D1C23"/>
    <w:rsid w:val="004D263C"/>
    <w:rsid w:val="004D5FEE"/>
    <w:rsid w:val="004E1C1D"/>
    <w:rsid w:val="004E4D18"/>
    <w:rsid w:val="004E516F"/>
    <w:rsid w:val="004E554E"/>
    <w:rsid w:val="004E63EB"/>
    <w:rsid w:val="004E7FA5"/>
    <w:rsid w:val="004F3404"/>
    <w:rsid w:val="004F3C21"/>
    <w:rsid w:val="004F74AC"/>
    <w:rsid w:val="005000C5"/>
    <w:rsid w:val="0050069A"/>
    <w:rsid w:val="00502FE9"/>
    <w:rsid w:val="00506D37"/>
    <w:rsid w:val="00510079"/>
    <w:rsid w:val="00510BDC"/>
    <w:rsid w:val="0051371D"/>
    <w:rsid w:val="00514961"/>
    <w:rsid w:val="00514FAF"/>
    <w:rsid w:val="0051680E"/>
    <w:rsid w:val="00522C01"/>
    <w:rsid w:val="0052386A"/>
    <w:rsid w:val="00531952"/>
    <w:rsid w:val="00537EB7"/>
    <w:rsid w:val="00547CF4"/>
    <w:rsid w:val="005503BE"/>
    <w:rsid w:val="005521BE"/>
    <w:rsid w:val="005544AC"/>
    <w:rsid w:val="005608C7"/>
    <w:rsid w:val="00561CF8"/>
    <w:rsid w:val="005636B1"/>
    <w:rsid w:val="00563907"/>
    <w:rsid w:val="00563A2C"/>
    <w:rsid w:val="00571698"/>
    <w:rsid w:val="00572EF8"/>
    <w:rsid w:val="005819EF"/>
    <w:rsid w:val="00583651"/>
    <w:rsid w:val="00583A6B"/>
    <w:rsid w:val="005853AF"/>
    <w:rsid w:val="00587CE5"/>
    <w:rsid w:val="00592535"/>
    <w:rsid w:val="00593501"/>
    <w:rsid w:val="005961FA"/>
    <w:rsid w:val="005A0A5E"/>
    <w:rsid w:val="005A0E3B"/>
    <w:rsid w:val="005A26CA"/>
    <w:rsid w:val="005A2C1A"/>
    <w:rsid w:val="005B06AF"/>
    <w:rsid w:val="005B0F6F"/>
    <w:rsid w:val="005B1EF3"/>
    <w:rsid w:val="005B4155"/>
    <w:rsid w:val="005B572A"/>
    <w:rsid w:val="005B5AEB"/>
    <w:rsid w:val="005B6BB6"/>
    <w:rsid w:val="005B7593"/>
    <w:rsid w:val="005C2BEB"/>
    <w:rsid w:val="005C2D4B"/>
    <w:rsid w:val="005C56F9"/>
    <w:rsid w:val="005C5836"/>
    <w:rsid w:val="005C5C81"/>
    <w:rsid w:val="005D08F5"/>
    <w:rsid w:val="005D1E10"/>
    <w:rsid w:val="005E0FB0"/>
    <w:rsid w:val="005E2DEB"/>
    <w:rsid w:val="005E543B"/>
    <w:rsid w:val="005E72A7"/>
    <w:rsid w:val="005F11C3"/>
    <w:rsid w:val="005F4AEB"/>
    <w:rsid w:val="005F5718"/>
    <w:rsid w:val="005F6256"/>
    <w:rsid w:val="00602BC0"/>
    <w:rsid w:val="00603EB2"/>
    <w:rsid w:val="0061214C"/>
    <w:rsid w:val="0061566B"/>
    <w:rsid w:val="0061644A"/>
    <w:rsid w:val="0061759C"/>
    <w:rsid w:val="006247E5"/>
    <w:rsid w:val="006256A1"/>
    <w:rsid w:val="00625AF0"/>
    <w:rsid w:val="00627FAD"/>
    <w:rsid w:val="00630898"/>
    <w:rsid w:val="00630B82"/>
    <w:rsid w:val="00631202"/>
    <w:rsid w:val="0063237D"/>
    <w:rsid w:val="00634F50"/>
    <w:rsid w:val="00642B3E"/>
    <w:rsid w:val="00643D28"/>
    <w:rsid w:val="00645230"/>
    <w:rsid w:val="0065056F"/>
    <w:rsid w:val="0065128B"/>
    <w:rsid w:val="006518BE"/>
    <w:rsid w:val="006521DB"/>
    <w:rsid w:val="00656AF2"/>
    <w:rsid w:val="00661564"/>
    <w:rsid w:val="00661EDB"/>
    <w:rsid w:val="006620EA"/>
    <w:rsid w:val="006647E1"/>
    <w:rsid w:val="00665C35"/>
    <w:rsid w:val="00667CA5"/>
    <w:rsid w:val="00672549"/>
    <w:rsid w:val="00673CB1"/>
    <w:rsid w:val="00673E02"/>
    <w:rsid w:val="006742BB"/>
    <w:rsid w:val="006765BA"/>
    <w:rsid w:val="00677125"/>
    <w:rsid w:val="00677362"/>
    <w:rsid w:val="00681CFA"/>
    <w:rsid w:val="00682883"/>
    <w:rsid w:val="00683D23"/>
    <w:rsid w:val="00685CC6"/>
    <w:rsid w:val="00686821"/>
    <w:rsid w:val="00693411"/>
    <w:rsid w:val="00693B76"/>
    <w:rsid w:val="00695F22"/>
    <w:rsid w:val="00696672"/>
    <w:rsid w:val="00696C42"/>
    <w:rsid w:val="006A0A76"/>
    <w:rsid w:val="006A46E3"/>
    <w:rsid w:val="006A58AC"/>
    <w:rsid w:val="006A6B0A"/>
    <w:rsid w:val="006B0FFC"/>
    <w:rsid w:val="006B2A85"/>
    <w:rsid w:val="006B3C87"/>
    <w:rsid w:val="006B56C8"/>
    <w:rsid w:val="006B75A2"/>
    <w:rsid w:val="006B7C38"/>
    <w:rsid w:val="006C2EC7"/>
    <w:rsid w:val="006C36C2"/>
    <w:rsid w:val="006C7B0C"/>
    <w:rsid w:val="006D1799"/>
    <w:rsid w:val="006D2945"/>
    <w:rsid w:val="006D2A43"/>
    <w:rsid w:val="006D3971"/>
    <w:rsid w:val="006D3A0A"/>
    <w:rsid w:val="006D4FD5"/>
    <w:rsid w:val="006D57C3"/>
    <w:rsid w:val="006D6177"/>
    <w:rsid w:val="006E095A"/>
    <w:rsid w:val="006E324F"/>
    <w:rsid w:val="006E7D15"/>
    <w:rsid w:val="006F09F0"/>
    <w:rsid w:val="006F1FB9"/>
    <w:rsid w:val="006F4D84"/>
    <w:rsid w:val="006F6B91"/>
    <w:rsid w:val="006F70CD"/>
    <w:rsid w:val="006F7472"/>
    <w:rsid w:val="0070304A"/>
    <w:rsid w:val="00707899"/>
    <w:rsid w:val="00710CAF"/>
    <w:rsid w:val="00711EFA"/>
    <w:rsid w:val="0071570C"/>
    <w:rsid w:val="00720572"/>
    <w:rsid w:val="007214C0"/>
    <w:rsid w:val="00721852"/>
    <w:rsid w:val="00722046"/>
    <w:rsid w:val="00723682"/>
    <w:rsid w:val="00726CAE"/>
    <w:rsid w:val="00727C57"/>
    <w:rsid w:val="00733A45"/>
    <w:rsid w:val="00736CAE"/>
    <w:rsid w:val="007373A4"/>
    <w:rsid w:val="007411E3"/>
    <w:rsid w:val="007428D5"/>
    <w:rsid w:val="00742CAA"/>
    <w:rsid w:val="00744BFD"/>
    <w:rsid w:val="007467C6"/>
    <w:rsid w:val="007472F7"/>
    <w:rsid w:val="00750157"/>
    <w:rsid w:val="00755AEA"/>
    <w:rsid w:val="00756298"/>
    <w:rsid w:val="00761E1E"/>
    <w:rsid w:val="007703DA"/>
    <w:rsid w:val="007732D9"/>
    <w:rsid w:val="0077590A"/>
    <w:rsid w:val="00775BE4"/>
    <w:rsid w:val="0077656B"/>
    <w:rsid w:val="00776877"/>
    <w:rsid w:val="00776C9A"/>
    <w:rsid w:val="00780442"/>
    <w:rsid w:val="007805EC"/>
    <w:rsid w:val="007817D0"/>
    <w:rsid w:val="00781940"/>
    <w:rsid w:val="00782E69"/>
    <w:rsid w:val="00792D37"/>
    <w:rsid w:val="00792EF2"/>
    <w:rsid w:val="007948C0"/>
    <w:rsid w:val="00795463"/>
    <w:rsid w:val="00797CF5"/>
    <w:rsid w:val="007A021E"/>
    <w:rsid w:val="007A133D"/>
    <w:rsid w:val="007A591C"/>
    <w:rsid w:val="007A5CD9"/>
    <w:rsid w:val="007A7B0A"/>
    <w:rsid w:val="007B0AE5"/>
    <w:rsid w:val="007B2A6E"/>
    <w:rsid w:val="007B326C"/>
    <w:rsid w:val="007B5561"/>
    <w:rsid w:val="007B5763"/>
    <w:rsid w:val="007B5AF4"/>
    <w:rsid w:val="007B65E5"/>
    <w:rsid w:val="007B6A1F"/>
    <w:rsid w:val="007B7153"/>
    <w:rsid w:val="007B74C0"/>
    <w:rsid w:val="007C0AE9"/>
    <w:rsid w:val="007C0C7D"/>
    <w:rsid w:val="007C0DBF"/>
    <w:rsid w:val="007C4362"/>
    <w:rsid w:val="007C5717"/>
    <w:rsid w:val="007C5F19"/>
    <w:rsid w:val="007C67F6"/>
    <w:rsid w:val="007C7337"/>
    <w:rsid w:val="007D1884"/>
    <w:rsid w:val="007D2AE5"/>
    <w:rsid w:val="007D51AF"/>
    <w:rsid w:val="007D66FE"/>
    <w:rsid w:val="007D73B2"/>
    <w:rsid w:val="007D77B7"/>
    <w:rsid w:val="007E07B7"/>
    <w:rsid w:val="007E098C"/>
    <w:rsid w:val="007E0C7E"/>
    <w:rsid w:val="007E255E"/>
    <w:rsid w:val="007E4A44"/>
    <w:rsid w:val="00802E7C"/>
    <w:rsid w:val="00802ECE"/>
    <w:rsid w:val="00802F66"/>
    <w:rsid w:val="00803C90"/>
    <w:rsid w:val="008049C7"/>
    <w:rsid w:val="008051D1"/>
    <w:rsid w:val="00807646"/>
    <w:rsid w:val="00811D70"/>
    <w:rsid w:val="00811FAF"/>
    <w:rsid w:val="00814CF8"/>
    <w:rsid w:val="008175AB"/>
    <w:rsid w:val="0081765A"/>
    <w:rsid w:val="00821A01"/>
    <w:rsid w:val="00821B2F"/>
    <w:rsid w:val="00821B7A"/>
    <w:rsid w:val="00821F13"/>
    <w:rsid w:val="00823C4B"/>
    <w:rsid w:val="008275D2"/>
    <w:rsid w:val="00827D3C"/>
    <w:rsid w:val="008331AE"/>
    <w:rsid w:val="00842584"/>
    <w:rsid w:val="00842C03"/>
    <w:rsid w:val="0084703D"/>
    <w:rsid w:val="008501BC"/>
    <w:rsid w:val="0085216B"/>
    <w:rsid w:val="00853DD2"/>
    <w:rsid w:val="008551DC"/>
    <w:rsid w:val="008570C8"/>
    <w:rsid w:val="00874B28"/>
    <w:rsid w:val="0088017D"/>
    <w:rsid w:val="00881498"/>
    <w:rsid w:val="00883AA1"/>
    <w:rsid w:val="00885FDD"/>
    <w:rsid w:val="00886F90"/>
    <w:rsid w:val="008873A7"/>
    <w:rsid w:val="00893C26"/>
    <w:rsid w:val="00893E1E"/>
    <w:rsid w:val="00895325"/>
    <w:rsid w:val="008A06E1"/>
    <w:rsid w:val="008A53FC"/>
    <w:rsid w:val="008A6040"/>
    <w:rsid w:val="008B156A"/>
    <w:rsid w:val="008B319B"/>
    <w:rsid w:val="008B3621"/>
    <w:rsid w:val="008B401E"/>
    <w:rsid w:val="008B58AA"/>
    <w:rsid w:val="008B5BC5"/>
    <w:rsid w:val="008B7507"/>
    <w:rsid w:val="008C0523"/>
    <w:rsid w:val="008C1B33"/>
    <w:rsid w:val="008C4043"/>
    <w:rsid w:val="008C7480"/>
    <w:rsid w:val="008D0247"/>
    <w:rsid w:val="008D02E3"/>
    <w:rsid w:val="008D27A6"/>
    <w:rsid w:val="008D4C1C"/>
    <w:rsid w:val="008D566D"/>
    <w:rsid w:val="008D5DA7"/>
    <w:rsid w:val="008E0446"/>
    <w:rsid w:val="008E0C19"/>
    <w:rsid w:val="008E3998"/>
    <w:rsid w:val="008E4F9B"/>
    <w:rsid w:val="008E5C12"/>
    <w:rsid w:val="008F0BDF"/>
    <w:rsid w:val="008F2A20"/>
    <w:rsid w:val="008F5CD1"/>
    <w:rsid w:val="00902F93"/>
    <w:rsid w:val="0090327A"/>
    <w:rsid w:val="009036D0"/>
    <w:rsid w:val="009060DB"/>
    <w:rsid w:val="00912803"/>
    <w:rsid w:val="00917BED"/>
    <w:rsid w:val="0092029A"/>
    <w:rsid w:val="0092079A"/>
    <w:rsid w:val="00924568"/>
    <w:rsid w:val="009256D5"/>
    <w:rsid w:val="0093030A"/>
    <w:rsid w:val="0093190A"/>
    <w:rsid w:val="00936BCD"/>
    <w:rsid w:val="0093767B"/>
    <w:rsid w:val="00940BAC"/>
    <w:rsid w:val="00946478"/>
    <w:rsid w:val="0094706F"/>
    <w:rsid w:val="00950658"/>
    <w:rsid w:val="009509EF"/>
    <w:rsid w:val="0095117F"/>
    <w:rsid w:val="00953BC6"/>
    <w:rsid w:val="00953C79"/>
    <w:rsid w:val="009541ED"/>
    <w:rsid w:val="00954EB6"/>
    <w:rsid w:val="009553D6"/>
    <w:rsid w:val="009579FF"/>
    <w:rsid w:val="00963020"/>
    <w:rsid w:val="00963415"/>
    <w:rsid w:val="00964C24"/>
    <w:rsid w:val="00964E06"/>
    <w:rsid w:val="00965931"/>
    <w:rsid w:val="009664D4"/>
    <w:rsid w:val="009673DC"/>
    <w:rsid w:val="0097187C"/>
    <w:rsid w:val="00972295"/>
    <w:rsid w:val="009735F0"/>
    <w:rsid w:val="00975663"/>
    <w:rsid w:val="00984F7F"/>
    <w:rsid w:val="00986158"/>
    <w:rsid w:val="00996C03"/>
    <w:rsid w:val="00997362"/>
    <w:rsid w:val="009A1485"/>
    <w:rsid w:val="009A1B21"/>
    <w:rsid w:val="009A2B6C"/>
    <w:rsid w:val="009A3969"/>
    <w:rsid w:val="009A58A9"/>
    <w:rsid w:val="009A6048"/>
    <w:rsid w:val="009A65A9"/>
    <w:rsid w:val="009B2ACA"/>
    <w:rsid w:val="009B2FE5"/>
    <w:rsid w:val="009B3C53"/>
    <w:rsid w:val="009B4302"/>
    <w:rsid w:val="009B5517"/>
    <w:rsid w:val="009B6290"/>
    <w:rsid w:val="009C28F6"/>
    <w:rsid w:val="009C7E8F"/>
    <w:rsid w:val="009D022B"/>
    <w:rsid w:val="009D0ACF"/>
    <w:rsid w:val="009D0DC4"/>
    <w:rsid w:val="009E107F"/>
    <w:rsid w:val="009E1380"/>
    <w:rsid w:val="009E230E"/>
    <w:rsid w:val="009E2671"/>
    <w:rsid w:val="009E35AD"/>
    <w:rsid w:val="009E668F"/>
    <w:rsid w:val="009F2861"/>
    <w:rsid w:val="009F49F4"/>
    <w:rsid w:val="009F63B3"/>
    <w:rsid w:val="009F774D"/>
    <w:rsid w:val="00A0224D"/>
    <w:rsid w:val="00A06702"/>
    <w:rsid w:val="00A11EA2"/>
    <w:rsid w:val="00A1396B"/>
    <w:rsid w:val="00A16139"/>
    <w:rsid w:val="00A166E4"/>
    <w:rsid w:val="00A21325"/>
    <w:rsid w:val="00A221DB"/>
    <w:rsid w:val="00A24D05"/>
    <w:rsid w:val="00A30F72"/>
    <w:rsid w:val="00A338FC"/>
    <w:rsid w:val="00A40207"/>
    <w:rsid w:val="00A420D4"/>
    <w:rsid w:val="00A42F74"/>
    <w:rsid w:val="00A42FEF"/>
    <w:rsid w:val="00A45A76"/>
    <w:rsid w:val="00A46E54"/>
    <w:rsid w:val="00A507B5"/>
    <w:rsid w:val="00A55843"/>
    <w:rsid w:val="00A57FE8"/>
    <w:rsid w:val="00A60893"/>
    <w:rsid w:val="00A64538"/>
    <w:rsid w:val="00A72F1F"/>
    <w:rsid w:val="00A7338A"/>
    <w:rsid w:val="00A73998"/>
    <w:rsid w:val="00A76045"/>
    <w:rsid w:val="00A76325"/>
    <w:rsid w:val="00A77202"/>
    <w:rsid w:val="00A83364"/>
    <w:rsid w:val="00A840CF"/>
    <w:rsid w:val="00A869F8"/>
    <w:rsid w:val="00A905ED"/>
    <w:rsid w:val="00A9317C"/>
    <w:rsid w:val="00A94D42"/>
    <w:rsid w:val="00A953FA"/>
    <w:rsid w:val="00AA3581"/>
    <w:rsid w:val="00AA6F8B"/>
    <w:rsid w:val="00AB0AC6"/>
    <w:rsid w:val="00AB350E"/>
    <w:rsid w:val="00AB430E"/>
    <w:rsid w:val="00AB7025"/>
    <w:rsid w:val="00AB764F"/>
    <w:rsid w:val="00AC03FC"/>
    <w:rsid w:val="00AC1424"/>
    <w:rsid w:val="00AD0F20"/>
    <w:rsid w:val="00AD2FD7"/>
    <w:rsid w:val="00AD4AD2"/>
    <w:rsid w:val="00AE1683"/>
    <w:rsid w:val="00AE184E"/>
    <w:rsid w:val="00AE31D5"/>
    <w:rsid w:val="00AE32C2"/>
    <w:rsid w:val="00AE439F"/>
    <w:rsid w:val="00AE6864"/>
    <w:rsid w:val="00AE6A19"/>
    <w:rsid w:val="00AE6AC6"/>
    <w:rsid w:val="00AE73E7"/>
    <w:rsid w:val="00AF05BD"/>
    <w:rsid w:val="00AF0990"/>
    <w:rsid w:val="00AF2A41"/>
    <w:rsid w:val="00AF37B4"/>
    <w:rsid w:val="00AF4689"/>
    <w:rsid w:val="00AF47C4"/>
    <w:rsid w:val="00AF4B0A"/>
    <w:rsid w:val="00AF5F39"/>
    <w:rsid w:val="00B018E8"/>
    <w:rsid w:val="00B10DBD"/>
    <w:rsid w:val="00B14027"/>
    <w:rsid w:val="00B201D3"/>
    <w:rsid w:val="00B23C7C"/>
    <w:rsid w:val="00B2628B"/>
    <w:rsid w:val="00B304BF"/>
    <w:rsid w:val="00B31382"/>
    <w:rsid w:val="00B34A84"/>
    <w:rsid w:val="00B3529E"/>
    <w:rsid w:val="00B37054"/>
    <w:rsid w:val="00B42572"/>
    <w:rsid w:val="00B4313E"/>
    <w:rsid w:val="00B44336"/>
    <w:rsid w:val="00B47792"/>
    <w:rsid w:val="00B47889"/>
    <w:rsid w:val="00B50362"/>
    <w:rsid w:val="00B51826"/>
    <w:rsid w:val="00B538FB"/>
    <w:rsid w:val="00B53C82"/>
    <w:rsid w:val="00B543F5"/>
    <w:rsid w:val="00B57A4C"/>
    <w:rsid w:val="00B604C7"/>
    <w:rsid w:val="00B62F1D"/>
    <w:rsid w:val="00B657A6"/>
    <w:rsid w:val="00B65CBE"/>
    <w:rsid w:val="00B77203"/>
    <w:rsid w:val="00B772E7"/>
    <w:rsid w:val="00B81636"/>
    <w:rsid w:val="00B83B39"/>
    <w:rsid w:val="00B84D9C"/>
    <w:rsid w:val="00B85B27"/>
    <w:rsid w:val="00B86048"/>
    <w:rsid w:val="00B875FC"/>
    <w:rsid w:val="00B87E20"/>
    <w:rsid w:val="00B91B80"/>
    <w:rsid w:val="00B91F3D"/>
    <w:rsid w:val="00B91F7F"/>
    <w:rsid w:val="00B95546"/>
    <w:rsid w:val="00BA0BCB"/>
    <w:rsid w:val="00BA69E9"/>
    <w:rsid w:val="00BA6DC8"/>
    <w:rsid w:val="00BB1079"/>
    <w:rsid w:val="00BB11B3"/>
    <w:rsid w:val="00BB1E5A"/>
    <w:rsid w:val="00BB3331"/>
    <w:rsid w:val="00BB408C"/>
    <w:rsid w:val="00BB6E25"/>
    <w:rsid w:val="00BB6FCC"/>
    <w:rsid w:val="00BB7BAA"/>
    <w:rsid w:val="00BC0165"/>
    <w:rsid w:val="00BC12C4"/>
    <w:rsid w:val="00BC1CF6"/>
    <w:rsid w:val="00BC45F4"/>
    <w:rsid w:val="00BC4951"/>
    <w:rsid w:val="00BC7005"/>
    <w:rsid w:val="00BC7219"/>
    <w:rsid w:val="00BC75AE"/>
    <w:rsid w:val="00BC7A2F"/>
    <w:rsid w:val="00BD0EF9"/>
    <w:rsid w:val="00BD78EF"/>
    <w:rsid w:val="00BE0A84"/>
    <w:rsid w:val="00BE1BD3"/>
    <w:rsid w:val="00BE2CB0"/>
    <w:rsid w:val="00BE7DBF"/>
    <w:rsid w:val="00BE7E17"/>
    <w:rsid w:val="00BF15B5"/>
    <w:rsid w:val="00BF21BD"/>
    <w:rsid w:val="00BF365A"/>
    <w:rsid w:val="00BF4A34"/>
    <w:rsid w:val="00BF66ED"/>
    <w:rsid w:val="00C0178F"/>
    <w:rsid w:val="00C01AD5"/>
    <w:rsid w:val="00C01CBC"/>
    <w:rsid w:val="00C05F74"/>
    <w:rsid w:val="00C07893"/>
    <w:rsid w:val="00C12FA1"/>
    <w:rsid w:val="00C1391E"/>
    <w:rsid w:val="00C1425D"/>
    <w:rsid w:val="00C1479D"/>
    <w:rsid w:val="00C163A8"/>
    <w:rsid w:val="00C200D7"/>
    <w:rsid w:val="00C21A56"/>
    <w:rsid w:val="00C23B35"/>
    <w:rsid w:val="00C2545C"/>
    <w:rsid w:val="00C2694F"/>
    <w:rsid w:val="00C27136"/>
    <w:rsid w:val="00C3439C"/>
    <w:rsid w:val="00C3748A"/>
    <w:rsid w:val="00C400DE"/>
    <w:rsid w:val="00C41A27"/>
    <w:rsid w:val="00C4240C"/>
    <w:rsid w:val="00C438A6"/>
    <w:rsid w:val="00C45040"/>
    <w:rsid w:val="00C4504D"/>
    <w:rsid w:val="00C45488"/>
    <w:rsid w:val="00C51E4A"/>
    <w:rsid w:val="00C53D29"/>
    <w:rsid w:val="00C54203"/>
    <w:rsid w:val="00C54679"/>
    <w:rsid w:val="00C547E3"/>
    <w:rsid w:val="00C553BA"/>
    <w:rsid w:val="00C55AF1"/>
    <w:rsid w:val="00C60782"/>
    <w:rsid w:val="00C6207A"/>
    <w:rsid w:val="00C65672"/>
    <w:rsid w:val="00C65AAE"/>
    <w:rsid w:val="00C66B4A"/>
    <w:rsid w:val="00C761ED"/>
    <w:rsid w:val="00C77657"/>
    <w:rsid w:val="00C82A13"/>
    <w:rsid w:val="00C82B3D"/>
    <w:rsid w:val="00C8402D"/>
    <w:rsid w:val="00C86E45"/>
    <w:rsid w:val="00C90FE7"/>
    <w:rsid w:val="00C926EF"/>
    <w:rsid w:val="00C92868"/>
    <w:rsid w:val="00C9292B"/>
    <w:rsid w:val="00C95C95"/>
    <w:rsid w:val="00C9653D"/>
    <w:rsid w:val="00C973E9"/>
    <w:rsid w:val="00C978E4"/>
    <w:rsid w:val="00CA3F98"/>
    <w:rsid w:val="00CA41C5"/>
    <w:rsid w:val="00CA4249"/>
    <w:rsid w:val="00CA54CF"/>
    <w:rsid w:val="00CB0459"/>
    <w:rsid w:val="00CB06AF"/>
    <w:rsid w:val="00CB161A"/>
    <w:rsid w:val="00CB1A4E"/>
    <w:rsid w:val="00CB2914"/>
    <w:rsid w:val="00CC0597"/>
    <w:rsid w:val="00CC1E58"/>
    <w:rsid w:val="00CC2B15"/>
    <w:rsid w:val="00CC2FAA"/>
    <w:rsid w:val="00CC3772"/>
    <w:rsid w:val="00CD0B13"/>
    <w:rsid w:val="00CD1BED"/>
    <w:rsid w:val="00CD2AB2"/>
    <w:rsid w:val="00CD3A2F"/>
    <w:rsid w:val="00CD641C"/>
    <w:rsid w:val="00CD6FCB"/>
    <w:rsid w:val="00CE2BAE"/>
    <w:rsid w:val="00CE316B"/>
    <w:rsid w:val="00CE35C5"/>
    <w:rsid w:val="00CE5E07"/>
    <w:rsid w:val="00CE67FB"/>
    <w:rsid w:val="00CE6A35"/>
    <w:rsid w:val="00CF4119"/>
    <w:rsid w:val="00CF6DCE"/>
    <w:rsid w:val="00CF774E"/>
    <w:rsid w:val="00D006D7"/>
    <w:rsid w:val="00D017FC"/>
    <w:rsid w:val="00D02613"/>
    <w:rsid w:val="00D040F2"/>
    <w:rsid w:val="00D04812"/>
    <w:rsid w:val="00D05369"/>
    <w:rsid w:val="00D11DDE"/>
    <w:rsid w:val="00D11EA2"/>
    <w:rsid w:val="00D12CAB"/>
    <w:rsid w:val="00D16971"/>
    <w:rsid w:val="00D16BCD"/>
    <w:rsid w:val="00D16EED"/>
    <w:rsid w:val="00D202BE"/>
    <w:rsid w:val="00D20D3C"/>
    <w:rsid w:val="00D21328"/>
    <w:rsid w:val="00D2178A"/>
    <w:rsid w:val="00D23631"/>
    <w:rsid w:val="00D237F2"/>
    <w:rsid w:val="00D243B5"/>
    <w:rsid w:val="00D2464C"/>
    <w:rsid w:val="00D25DBF"/>
    <w:rsid w:val="00D34AA5"/>
    <w:rsid w:val="00D35990"/>
    <w:rsid w:val="00D42A43"/>
    <w:rsid w:val="00D4438D"/>
    <w:rsid w:val="00D46D26"/>
    <w:rsid w:val="00D50452"/>
    <w:rsid w:val="00D50B86"/>
    <w:rsid w:val="00D53348"/>
    <w:rsid w:val="00D54643"/>
    <w:rsid w:val="00D5591E"/>
    <w:rsid w:val="00D55B41"/>
    <w:rsid w:val="00D56D15"/>
    <w:rsid w:val="00D6023D"/>
    <w:rsid w:val="00D6054E"/>
    <w:rsid w:val="00D60AFE"/>
    <w:rsid w:val="00D626A5"/>
    <w:rsid w:val="00D642E5"/>
    <w:rsid w:val="00D70D0F"/>
    <w:rsid w:val="00D70DE3"/>
    <w:rsid w:val="00D713FB"/>
    <w:rsid w:val="00D71D66"/>
    <w:rsid w:val="00D74736"/>
    <w:rsid w:val="00D770F5"/>
    <w:rsid w:val="00D80A2C"/>
    <w:rsid w:val="00D82E38"/>
    <w:rsid w:val="00D83DBB"/>
    <w:rsid w:val="00D8479A"/>
    <w:rsid w:val="00D914FB"/>
    <w:rsid w:val="00D94A9F"/>
    <w:rsid w:val="00D964FF"/>
    <w:rsid w:val="00D97DB3"/>
    <w:rsid w:val="00DA7171"/>
    <w:rsid w:val="00DB0101"/>
    <w:rsid w:val="00DB3A66"/>
    <w:rsid w:val="00DB47CE"/>
    <w:rsid w:val="00DB680D"/>
    <w:rsid w:val="00DB6846"/>
    <w:rsid w:val="00DC0EDC"/>
    <w:rsid w:val="00DC3D24"/>
    <w:rsid w:val="00DC61A7"/>
    <w:rsid w:val="00DD0B9A"/>
    <w:rsid w:val="00DD61A4"/>
    <w:rsid w:val="00DE07C1"/>
    <w:rsid w:val="00DE1F8C"/>
    <w:rsid w:val="00DE24C9"/>
    <w:rsid w:val="00DE40CA"/>
    <w:rsid w:val="00DE6164"/>
    <w:rsid w:val="00DF3232"/>
    <w:rsid w:val="00DF455A"/>
    <w:rsid w:val="00DF463C"/>
    <w:rsid w:val="00DF4E65"/>
    <w:rsid w:val="00DF67DA"/>
    <w:rsid w:val="00E03E18"/>
    <w:rsid w:val="00E10EDC"/>
    <w:rsid w:val="00E1168C"/>
    <w:rsid w:val="00E12ADC"/>
    <w:rsid w:val="00E1376F"/>
    <w:rsid w:val="00E13F09"/>
    <w:rsid w:val="00E23FAF"/>
    <w:rsid w:val="00E24214"/>
    <w:rsid w:val="00E375C8"/>
    <w:rsid w:val="00E37E4F"/>
    <w:rsid w:val="00E461DB"/>
    <w:rsid w:val="00E4653B"/>
    <w:rsid w:val="00E50C26"/>
    <w:rsid w:val="00E51822"/>
    <w:rsid w:val="00E522E5"/>
    <w:rsid w:val="00E54082"/>
    <w:rsid w:val="00E541E1"/>
    <w:rsid w:val="00E54359"/>
    <w:rsid w:val="00E54B03"/>
    <w:rsid w:val="00E54E90"/>
    <w:rsid w:val="00E612C7"/>
    <w:rsid w:val="00E616BA"/>
    <w:rsid w:val="00E64A5C"/>
    <w:rsid w:val="00E65ACB"/>
    <w:rsid w:val="00E70262"/>
    <w:rsid w:val="00E72758"/>
    <w:rsid w:val="00E72B22"/>
    <w:rsid w:val="00E7411A"/>
    <w:rsid w:val="00E75232"/>
    <w:rsid w:val="00E7549E"/>
    <w:rsid w:val="00E76BA1"/>
    <w:rsid w:val="00E7718C"/>
    <w:rsid w:val="00E77891"/>
    <w:rsid w:val="00E81D37"/>
    <w:rsid w:val="00E82142"/>
    <w:rsid w:val="00E87A48"/>
    <w:rsid w:val="00E904B8"/>
    <w:rsid w:val="00E9153E"/>
    <w:rsid w:val="00E91691"/>
    <w:rsid w:val="00E91AC0"/>
    <w:rsid w:val="00E925FE"/>
    <w:rsid w:val="00E93F98"/>
    <w:rsid w:val="00EA17D7"/>
    <w:rsid w:val="00EA7297"/>
    <w:rsid w:val="00EA75EE"/>
    <w:rsid w:val="00EB157A"/>
    <w:rsid w:val="00EB29C0"/>
    <w:rsid w:val="00EB597D"/>
    <w:rsid w:val="00EB6E85"/>
    <w:rsid w:val="00EC2BCA"/>
    <w:rsid w:val="00EC3C3A"/>
    <w:rsid w:val="00EC6259"/>
    <w:rsid w:val="00EC6616"/>
    <w:rsid w:val="00EC6801"/>
    <w:rsid w:val="00ED075E"/>
    <w:rsid w:val="00ED216E"/>
    <w:rsid w:val="00ED32E6"/>
    <w:rsid w:val="00ED5980"/>
    <w:rsid w:val="00ED6043"/>
    <w:rsid w:val="00ED6862"/>
    <w:rsid w:val="00ED6DF6"/>
    <w:rsid w:val="00ED6E82"/>
    <w:rsid w:val="00EE00B2"/>
    <w:rsid w:val="00EE2386"/>
    <w:rsid w:val="00EE509A"/>
    <w:rsid w:val="00EE51F1"/>
    <w:rsid w:val="00EE5F77"/>
    <w:rsid w:val="00EF3AD6"/>
    <w:rsid w:val="00EF582C"/>
    <w:rsid w:val="00EF63E8"/>
    <w:rsid w:val="00F04008"/>
    <w:rsid w:val="00F04B93"/>
    <w:rsid w:val="00F0623E"/>
    <w:rsid w:val="00F06D3A"/>
    <w:rsid w:val="00F07A7C"/>
    <w:rsid w:val="00F1058A"/>
    <w:rsid w:val="00F126FC"/>
    <w:rsid w:val="00F144B0"/>
    <w:rsid w:val="00F15F33"/>
    <w:rsid w:val="00F227C4"/>
    <w:rsid w:val="00F25062"/>
    <w:rsid w:val="00F257D3"/>
    <w:rsid w:val="00F25CB2"/>
    <w:rsid w:val="00F3015D"/>
    <w:rsid w:val="00F3142D"/>
    <w:rsid w:val="00F32440"/>
    <w:rsid w:val="00F329B1"/>
    <w:rsid w:val="00F33098"/>
    <w:rsid w:val="00F34A84"/>
    <w:rsid w:val="00F35CEB"/>
    <w:rsid w:val="00F4330C"/>
    <w:rsid w:val="00F445BE"/>
    <w:rsid w:val="00F504C1"/>
    <w:rsid w:val="00F53931"/>
    <w:rsid w:val="00F569C5"/>
    <w:rsid w:val="00F576CD"/>
    <w:rsid w:val="00F61742"/>
    <w:rsid w:val="00F623AE"/>
    <w:rsid w:val="00F6255C"/>
    <w:rsid w:val="00F6300F"/>
    <w:rsid w:val="00F64F99"/>
    <w:rsid w:val="00F65E32"/>
    <w:rsid w:val="00F70864"/>
    <w:rsid w:val="00F717E5"/>
    <w:rsid w:val="00F74FA0"/>
    <w:rsid w:val="00F82A8F"/>
    <w:rsid w:val="00F8442A"/>
    <w:rsid w:val="00F844CE"/>
    <w:rsid w:val="00F866E1"/>
    <w:rsid w:val="00F90793"/>
    <w:rsid w:val="00F91295"/>
    <w:rsid w:val="00F92446"/>
    <w:rsid w:val="00F93839"/>
    <w:rsid w:val="00F96632"/>
    <w:rsid w:val="00F976B2"/>
    <w:rsid w:val="00F97D6E"/>
    <w:rsid w:val="00F97E6F"/>
    <w:rsid w:val="00FA5A40"/>
    <w:rsid w:val="00FA6B27"/>
    <w:rsid w:val="00FA7B5A"/>
    <w:rsid w:val="00FB0182"/>
    <w:rsid w:val="00FB0631"/>
    <w:rsid w:val="00FB2F0D"/>
    <w:rsid w:val="00FB499B"/>
    <w:rsid w:val="00FB6ABF"/>
    <w:rsid w:val="00FB772A"/>
    <w:rsid w:val="00FC09FD"/>
    <w:rsid w:val="00FC2302"/>
    <w:rsid w:val="00FC2319"/>
    <w:rsid w:val="00FC34C9"/>
    <w:rsid w:val="00FD09FB"/>
    <w:rsid w:val="00FD0DAF"/>
    <w:rsid w:val="00FD3BE7"/>
    <w:rsid w:val="00FD400F"/>
    <w:rsid w:val="00FE30E2"/>
    <w:rsid w:val="00FE3AE1"/>
    <w:rsid w:val="00FE422B"/>
    <w:rsid w:val="00FE5421"/>
    <w:rsid w:val="00FE67A8"/>
    <w:rsid w:val="00FF5ABB"/>
    <w:rsid w:val="00FF5F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30530"/>
  <w15:docId w15:val="{7007376B-6846-4332-8ACE-B1935758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1B"/>
    <w:rPr>
      <w:rFonts w:eastAsiaTheme="minorEastAsia"/>
      <w:lang w:val="es-MX" w:eastAsia="es-MX"/>
    </w:rPr>
  </w:style>
  <w:style w:type="paragraph" w:styleId="Ttulo2">
    <w:name w:val="heading 2"/>
    <w:basedOn w:val="Normal"/>
    <w:next w:val="Normal"/>
    <w:link w:val="Ttulo2Car"/>
    <w:uiPriority w:val="9"/>
    <w:semiHidden/>
    <w:unhideWhenUsed/>
    <w:qFormat/>
    <w:rsid w:val="009A65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D02613"/>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A1B"/>
    <w:rPr>
      <w:color w:val="0000FF" w:themeColor="hyperlink"/>
      <w:u w:val="single"/>
    </w:rPr>
  </w:style>
  <w:style w:type="table" w:styleId="Tablaconcuadrcula">
    <w:name w:val="Table Grid"/>
    <w:basedOn w:val="Tablanormal"/>
    <w:uiPriority w:val="39"/>
    <w:rsid w:val="0027330F"/>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27330F"/>
    <w:pPr>
      <w:spacing w:after="0" w:line="240" w:lineRule="auto"/>
    </w:pPr>
    <w:rPr>
      <w:rFonts w:eastAsiaTheme="minorEastAsia"/>
      <w:lang w:val="es-MX"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273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30F"/>
    <w:rPr>
      <w:rFonts w:ascii="Tahoma" w:eastAsiaTheme="minorEastAsia" w:hAnsi="Tahoma" w:cs="Tahoma"/>
      <w:sz w:val="16"/>
      <w:szCs w:val="16"/>
      <w:lang w:val="es-MX" w:eastAsia="es-MX"/>
    </w:rPr>
  </w:style>
  <w:style w:type="character" w:customStyle="1" w:styleId="A2">
    <w:name w:val="A2"/>
    <w:uiPriority w:val="99"/>
    <w:rsid w:val="00781940"/>
    <w:rPr>
      <w:rFonts w:cs="ANERIV+JoannaMT"/>
      <w:color w:val="000000"/>
      <w:sz w:val="20"/>
      <w:szCs w:val="20"/>
    </w:rPr>
  </w:style>
  <w:style w:type="paragraph" w:customStyle="1" w:styleId="Default">
    <w:name w:val="Default"/>
    <w:rsid w:val="00FD400F"/>
    <w:pPr>
      <w:autoSpaceDE w:val="0"/>
      <w:autoSpaceDN w:val="0"/>
      <w:adjustRightInd w:val="0"/>
      <w:spacing w:after="0" w:line="240" w:lineRule="auto"/>
    </w:pPr>
    <w:rPr>
      <w:rFonts w:ascii="Bodoni BT" w:eastAsiaTheme="minorEastAsia" w:hAnsi="Bodoni BT" w:cs="Bodoni BT"/>
      <w:color w:val="000000"/>
      <w:sz w:val="24"/>
      <w:szCs w:val="24"/>
      <w:lang w:val="es-MX" w:eastAsia="es-MX"/>
    </w:rPr>
  </w:style>
  <w:style w:type="paragraph" w:styleId="NormalWeb">
    <w:name w:val="Normal (Web)"/>
    <w:basedOn w:val="Normal"/>
    <w:uiPriority w:val="99"/>
    <w:unhideWhenUsed/>
    <w:rsid w:val="007D6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D02613"/>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46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188"/>
    <w:rPr>
      <w:rFonts w:eastAsiaTheme="minorEastAsia"/>
      <w:lang w:val="es-MX" w:eastAsia="es-MX"/>
    </w:rPr>
  </w:style>
  <w:style w:type="paragraph" w:styleId="Piedepgina">
    <w:name w:val="footer"/>
    <w:basedOn w:val="Normal"/>
    <w:link w:val="PiedepginaCar"/>
    <w:uiPriority w:val="99"/>
    <w:unhideWhenUsed/>
    <w:rsid w:val="0046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188"/>
    <w:rPr>
      <w:rFonts w:eastAsiaTheme="minorEastAsia"/>
      <w:lang w:val="es-MX" w:eastAsia="es-MX"/>
    </w:rPr>
  </w:style>
  <w:style w:type="paragraph" w:styleId="Prrafodelista">
    <w:name w:val="List Paragraph"/>
    <w:basedOn w:val="Normal"/>
    <w:link w:val="PrrafodelistaCar"/>
    <w:uiPriority w:val="34"/>
    <w:qFormat/>
    <w:rsid w:val="001C5D78"/>
    <w:pPr>
      <w:ind w:left="720"/>
      <w:contextualSpacing/>
    </w:pPr>
  </w:style>
  <w:style w:type="character" w:styleId="Refdecomentario">
    <w:name w:val="annotation reference"/>
    <w:basedOn w:val="Fuentedeprrafopredeter"/>
    <w:uiPriority w:val="99"/>
    <w:semiHidden/>
    <w:unhideWhenUsed/>
    <w:rsid w:val="007B74C0"/>
    <w:rPr>
      <w:sz w:val="16"/>
      <w:szCs w:val="16"/>
    </w:rPr>
  </w:style>
  <w:style w:type="paragraph" w:styleId="Textocomentario">
    <w:name w:val="annotation text"/>
    <w:basedOn w:val="Normal"/>
    <w:link w:val="TextocomentarioCar"/>
    <w:uiPriority w:val="99"/>
    <w:semiHidden/>
    <w:unhideWhenUsed/>
    <w:rsid w:val="007B74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74C0"/>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7B74C0"/>
    <w:rPr>
      <w:b/>
      <w:bCs/>
    </w:rPr>
  </w:style>
  <w:style w:type="character" w:customStyle="1" w:styleId="AsuntodelcomentarioCar">
    <w:name w:val="Asunto del comentario Car"/>
    <w:basedOn w:val="TextocomentarioCar"/>
    <w:link w:val="Asuntodelcomentario"/>
    <w:uiPriority w:val="99"/>
    <w:semiHidden/>
    <w:rsid w:val="007B74C0"/>
    <w:rPr>
      <w:rFonts w:eastAsiaTheme="minorEastAsia"/>
      <w:b/>
      <w:bCs/>
      <w:sz w:val="20"/>
      <w:szCs w:val="20"/>
      <w:lang w:val="es-MX" w:eastAsia="es-MX"/>
    </w:rPr>
  </w:style>
  <w:style w:type="paragraph" w:styleId="Textonotaalfinal">
    <w:name w:val="endnote text"/>
    <w:basedOn w:val="Normal"/>
    <w:link w:val="TextonotaalfinalCar"/>
    <w:uiPriority w:val="99"/>
    <w:semiHidden/>
    <w:unhideWhenUsed/>
    <w:rsid w:val="006E7D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15"/>
    <w:rPr>
      <w:rFonts w:eastAsiaTheme="minorEastAsia"/>
      <w:sz w:val="20"/>
      <w:szCs w:val="20"/>
      <w:lang w:val="es-MX" w:eastAsia="es-MX"/>
    </w:rPr>
  </w:style>
  <w:style w:type="character" w:styleId="Refdenotaalfinal">
    <w:name w:val="endnote reference"/>
    <w:basedOn w:val="Fuentedeprrafopredeter"/>
    <w:uiPriority w:val="99"/>
    <w:semiHidden/>
    <w:unhideWhenUsed/>
    <w:rsid w:val="006E7D15"/>
    <w:rPr>
      <w:vertAlign w:val="superscript"/>
    </w:rPr>
  </w:style>
  <w:style w:type="character" w:customStyle="1" w:styleId="pubdatesrow">
    <w:name w:val="pubdatesrow"/>
    <w:basedOn w:val="Fuentedeprrafopredeter"/>
    <w:rsid w:val="00D8479A"/>
  </w:style>
  <w:style w:type="character" w:customStyle="1" w:styleId="pubdateslbls">
    <w:name w:val="pubdateslbls"/>
    <w:basedOn w:val="Fuentedeprrafopredeter"/>
    <w:rsid w:val="00D8479A"/>
  </w:style>
  <w:style w:type="character" w:customStyle="1" w:styleId="5yl5">
    <w:name w:val="_5yl5"/>
    <w:basedOn w:val="Fuentedeprrafopredeter"/>
    <w:rsid w:val="0011076B"/>
  </w:style>
  <w:style w:type="table" w:customStyle="1" w:styleId="5">
    <w:name w:val="5"/>
    <w:basedOn w:val="Tablanormal"/>
    <w:rsid w:val="000143F9"/>
    <w:pPr>
      <w:spacing w:after="0" w:line="240" w:lineRule="auto"/>
    </w:pPr>
    <w:rPr>
      <w:rFonts w:ascii="Calibri" w:eastAsia="Calibri" w:hAnsi="Calibri" w:cs="Calibri"/>
      <w:color w:val="000000"/>
      <w:lang w:eastAsia="es-CO"/>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tcBorders>
          <w:left w:val="nil"/>
          <w:right w:val="nil"/>
          <w:insideH w:val="nil"/>
          <w:insideV w:val="nil"/>
        </w:tcBorders>
        <w:shd w:val="clear" w:color="auto" w:fill="C0C0C0"/>
        <w:tcMar>
          <w:top w:w="0" w:type="nil"/>
          <w:left w:w="115" w:type="dxa"/>
          <w:bottom w:w="0" w:type="nil"/>
          <w:right w:w="115" w:type="dxa"/>
        </w:tcMar>
      </w:tcPr>
    </w:tblStylePr>
    <w:tblStylePr w:type="band1Horz">
      <w:tblPr/>
      <w:tcPr>
        <w:tcBorders>
          <w:left w:val="nil"/>
          <w:right w:val="nil"/>
          <w:insideH w:val="nil"/>
          <w:insideV w:val="nil"/>
        </w:tcBorders>
        <w:shd w:val="clear" w:color="auto" w:fill="C0C0C0"/>
        <w:tcMar>
          <w:top w:w="0" w:type="nil"/>
          <w:left w:w="115" w:type="dxa"/>
          <w:bottom w:w="0" w:type="nil"/>
          <w:right w:w="115" w:type="dxa"/>
        </w:tcMar>
      </w:tcPr>
    </w:tblStylePr>
  </w:style>
  <w:style w:type="table" w:customStyle="1" w:styleId="Tablanormal21">
    <w:name w:val="Tabla normal 21"/>
    <w:basedOn w:val="Tablanormal"/>
    <w:uiPriority w:val="42"/>
    <w:rsid w:val="00014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404AF5"/>
    <w:rPr>
      <w:rFonts w:eastAsiaTheme="minorEastAsia"/>
      <w:lang w:val="es-MX" w:eastAsia="es-MX"/>
    </w:rPr>
  </w:style>
  <w:style w:type="paragraph" w:styleId="Textoindependiente3">
    <w:name w:val="Body Text 3"/>
    <w:basedOn w:val="Normal"/>
    <w:link w:val="Textoindependiente3Car"/>
    <w:rsid w:val="003127F2"/>
    <w:pPr>
      <w:spacing w:after="0" w:line="360" w:lineRule="auto"/>
      <w:jc w:val="both"/>
    </w:pPr>
    <w:rPr>
      <w:rFonts w:ascii="Arial" w:eastAsia="Times New Roman" w:hAnsi="Arial" w:cs="Times New Roman"/>
      <w:color w:val="FF0000"/>
      <w:sz w:val="24"/>
      <w:szCs w:val="24"/>
      <w:lang w:val="es-ES" w:eastAsia="es-ES"/>
    </w:rPr>
  </w:style>
  <w:style w:type="character" w:customStyle="1" w:styleId="Textoindependiente3Car">
    <w:name w:val="Texto independiente 3 Car"/>
    <w:basedOn w:val="Fuentedeprrafopredeter"/>
    <w:link w:val="Textoindependiente3"/>
    <w:rsid w:val="003127F2"/>
    <w:rPr>
      <w:rFonts w:ascii="Arial" w:eastAsia="Times New Roman" w:hAnsi="Arial" w:cs="Times New Roman"/>
      <w:color w:val="FF0000"/>
      <w:sz w:val="24"/>
      <w:szCs w:val="24"/>
      <w:lang w:val="es-ES" w:eastAsia="es-ES"/>
    </w:rPr>
  </w:style>
  <w:style w:type="paragraph" w:styleId="Sinespaciado">
    <w:name w:val="No Spacing"/>
    <w:uiPriority w:val="1"/>
    <w:qFormat/>
    <w:rsid w:val="003127F2"/>
    <w:pPr>
      <w:spacing w:after="0" w:line="240" w:lineRule="auto"/>
    </w:pPr>
    <w:rPr>
      <w:rFonts w:ascii="Arial" w:eastAsia="Calibri" w:hAnsi="Arial" w:cs="Times New Roman"/>
      <w:lang w:eastAsia="es-CO"/>
    </w:rPr>
  </w:style>
  <w:style w:type="table" w:styleId="Listaclara-nfasis3">
    <w:name w:val="Light List Accent 3"/>
    <w:basedOn w:val="Tablanormal"/>
    <w:uiPriority w:val="61"/>
    <w:rsid w:val="003127F2"/>
    <w:pPr>
      <w:spacing w:after="0" w:line="240" w:lineRule="auto"/>
    </w:pPr>
    <w:rPr>
      <w:rFonts w:eastAsiaTheme="minorEastAsia"/>
      <w:lang w:val="en-US"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5E2DEB"/>
  </w:style>
  <w:style w:type="character" w:customStyle="1" w:styleId="Ttulo2Car">
    <w:name w:val="Título 2 Car"/>
    <w:basedOn w:val="Fuentedeprrafopredeter"/>
    <w:link w:val="Ttulo2"/>
    <w:uiPriority w:val="9"/>
    <w:semiHidden/>
    <w:rsid w:val="009A65A9"/>
    <w:rPr>
      <w:rFonts w:asciiTheme="majorHAnsi" w:eastAsiaTheme="majorEastAsia" w:hAnsiTheme="majorHAnsi" w:cstheme="majorBidi"/>
      <w:color w:val="365F91" w:themeColor="accent1" w:themeShade="BF"/>
      <w:sz w:val="26"/>
      <w:szCs w:val="26"/>
      <w:lang w:val="es-MX" w:eastAsia="es-MX"/>
    </w:rPr>
  </w:style>
  <w:style w:type="table" w:customStyle="1" w:styleId="Cuadrculadetablaclara1">
    <w:name w:val="Cuadrícula de tabla clara1"/>
    <w:basedOn w:val="Tablanormal"/>
    <w:uiPriority w:val="99"/>
    <w:rsid w:val="009A65A9"/>
    <w:pPr>
      <w:spacing w:after="0" w:line="240" w:lineRule="auto"/>
    </w:pPr>
    <w:rPr>
      <w:sz w:val="24"/>
      <w:szCs w:val="24"/>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964C24"/>
    <w:rPr>
      <w:color w:val="800080" w:themeColor="followedHyperlink"/>
      <w:u w:val="single"/>
    </w:rPr>
  </w:style>
  <w:style w:type="paragraph" w:styleId="Bibliografa">
    <w:name w:val="Bibliography"/>
    <w:basedOn w:val="Normal"/>
    <w:next w:val="Normal"/>
    <w:uiPriority w:val="37"/>
    <w:semiHidden/>
    <w:unhideWhenUsed/>
    <w:rsid w:val="00681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081">
      <w:bodyDiv w:val="1"/>
      <w:marLeft w:val="0"/>
      <w:marRight w:val="0"/>
      <w:marTop w:val="0"/>
      <w:marBottom w:val="0"/>
      <w:divBdr>
        <w:top w:val="none" w:sz="0" w:space="0" w:color="auto"/>
        <w:left w:val="none" w:sz="0" w:space="0" w:color="auto"/>
        <w:bottom w:val="none" w:sz="0" w:space="0" w:color="auto"/>
        <w:right w:val="none" w:sz="0" w:space="0" w:color="auto"/>
      </w:divBdr>
      <w:divsChild>
        <w:div w:id="606549579">
          <w:marLeft w:val="0"/>
          <w:marRight w:val="0"/>
          <w:marTop w:val="0"/>
          <w:marBottom w:val="0"/>
          <w:divBdr>
            <w:top w:val="none" w:sz="0" w:space="0" w:color="auto"/>
            <w:left w:val="none" w:sz="0" w:space="0" w:color="auto"/>
            <w:bottom w:val="none" w:sz="0" w:space="0" w:color="auto"/>
            <w:right w:val="none" w:sz="0" w:space="0" w:color="auto"/>
          </w:divBdr>
          <w:divsChild>
            <w:div w:id="330374390">
              <w:marLeft w:val="0"/>
              <w:marRight w:val="0"/>
              <w:marTop w:val="0"/>
              <w:marBottom w:val="0"/>
              <w:divBdr>
                <w:top w:val="none" w:sz="0" w:space="0" w:color="auto"/>
                <w:left w:val="none" w:sz="0" w:space="0" w:color="auto"/>
                <w:bottom w:val="none" w:sz="0" w:space="0" w:color="auto"/>
                <w:right w:val="none" w:sz="0" w:space="0" w:color="auto"/>
              </w:divBdr>
            </w:div>
            <w:div w:id="523371121">
              <w:marLeft w:val="0"/>
              <w:marRight w:val="0"/>
              <w:marTop w:val="0"/>
              <w:marBottom w:val="0"/>
              <w:divBdr>
                <w:top w:val="none" w:sz="0" w:space="0" w:color="auto"/>
                <w:left w:val="none" w:sz="0" w:space="0" w:color="auto"/>
                <w:bottom w:val="none" w:sz="0" w:space="0" w:color="auto"/>
                <w:right w:val="none" w:sz="0" w:space="0" w:color="auto"/>
              </w:divBdr>
            </w:div>
            <w:div w:id="669328279">
              <w:marLeft w:val="0"/>
              <w:marRight w:val="0"/>
              <w:marTop w:val="0"/>
              <w:marBottom w:val="0"/>
              <w:divBdr>
                <w:top w:val="none" w:sz="0" w:space="0" w:color="auto"/>
                <w:left w:val="none" w:sz="0" w:space="0" w:color="auto"/>
                <w:bottom w:val="none" w:sz="0" w:space="0" w:color="auto"/>
                <w:right w:val="none" w:sz="0" w:space="0" w:color="auto"/>
              </w:divBdr>
            </w:div>
            <w:div w:id="932589722">
              <w:marLeft w:val="0"/>
              <w:marRight w:val="0"/>
              <w:marTop w:val="0"/>
              <w:marBottom w:val="0"/>
              <w:divBdr>
                <w:top w:val="none" w:sz="0" w:space="0" w:color="auto"/>
                <w:left w:val="none" w:sz="0" w:space="0" w:color="auto"/>
                <w:bottom w:val="none" w:sz="0" w:space="0" w:color="auto"/>
                <w:right w:val="none" w:sz="0" w:space="0" w:color="auto"/>
              </w:divBdr>
            </w:div>
            <w:div w:id="1706368776">
              <w:marLeft w:val="0"/>
              <w:marRight w:val="0"/>
              <w:marTop w:val="0"/>
              <w:marBottom w:val="0"/>
              <w:divBdr>
                <w:top w:val="none" w:sz="0" w:space="0" w:color="auto"/>
                <w:left w:val="none" w:sz="0" w:space="0" w:color="auto"/>
                <w:bottom w:val="none" w:sz="0" w:space="0" w:color="auto"/>
                <w:right w:val="none" w:sz="0" w:space="0" w:color="auto"/>
              </w:divBdr>
            </w:div>
          </w:divsChild>
        </w:div>
        <w:div w:id="1618564749">
          <w:marLeft w:val="0"/>
          <w:marRight w:val="0"/>
          <w:marTop w:val="0"/>
          <w:marBottom w:val="0"/>
          <w:divBdr>
            <w:top w:val="none" w:sz="0" w:space="0" w:color="auto"/>
            <w:left w:val="none" w:sz="0" w:space="0" w:color="auto"/>
            <w:bottom w:val="none" w:sz="0" w:space="0" w:color="auto"/>
            <w:right w:val="none" w:sz="0" w:space="0" w:color="auto"/>
          </w:divBdr>
        </w:div>
      </w:divsChild>
    </w:div>
    <w:div w:id="62921001">
      <w:bodyDiv w:val="1"/>
      <w:marLeft w:val="0"/>
      <w:marRight w:val="0"/>
      <w:marTop w:val="0"/>
      <w:marBottom w:val="0"/>
      <w:divBdr>
        <w:top w:val="none" w:sz="0" w:space="0" w:color="auto"/>
        <w:left w:val="none" w:sz="0" w:space="0" w:color="auto"/>
        <w:bottom w:val="none" w:sz="0" w:space="0" w:color="auto"/>
        <w:right w:val="none" w:sz="0" w:space="0" w:color="auto"/>
      </w:divBdr>
    </w:div>
    <w:div w:id="137000595">
      <w:bodyDiv w:val="1"/>
      <w:marLeft w:val="0"/>
      <w:marRight w:val="0"/>
      <w:marTop w:val="0"/>
      <w:marBottom w:val="0"/>
      <w:divBdr>
        <w:top w:val="none" w:sz="0" w:space="0" w:color="auto"/>
        <w:left w:val="none" w:sz="0" w:space="0" w:color="auto"/>
        <w:bottom w:val="none" w:sz="0" w:space="0" w:color="auto"/>
        <w:right w:val="none" w:sz="0" w:space="0" w:color="auto"/>
      </w:divBdr>
      <w:divsChild>
        <w:div w:id="381371757">
          <w:marLeft w:val="0"/>
          <w:marRight w:val="0"/>
          <w:marTop w:val="0"/>
          <w:marBottom w:val="0"/>
          <w:divBdr>
            <w:top w:val="none" w:sz="0" w:space="0" w:color="auto"/>
            <w:left w:val="none" w:sz="0" w:space="0" w:color="auto"/>
            <w:bottom w:val="none" w:sz="0" w:space="0" w:color="auto"/>
            <w:right w:val="none" w:sz="0" w:space="0" w:color="auto"/>
          </w:divBdr>
          <w:divsChild>
            <w:div w:id="632297484">
              <w:marLeft w:val="0"/>
              <w:marRight w:val="0"/>
              <w:marTop w:val="0"/>
              <w:marBottom w:val="0"/>
              <w:divBdr>
                <w:top w:val="none" w:sz="0" w:space="0" w:color="auto"/>
                <w:left w:val="none" w:sz="0" w:space="0" w:color="auto"/>
                <w:bottom w:val="none" w:sz="0" w:space="0" w:color="auto"/>
                <w:right w:val="none" w:sz="0" w:space="0" w:color="auto"/>
              </w:divBdr>
              <w:divsChild>
                <w:div w:id="1259288337">
                  <w:marLeft w:val="0"/>
                  <w:marRight w:val="0"/>
                  <w:marTop w:val="0"/>
                  <w:marBottom w:val="0"/>
                  <w:divBdr>
                    <w:top w:val="none" w:sz="0" w:space="0" w:color="auto"/>
                    <w:left w:val="none" w:sz="0" w:space="0" w:color="auto"/>
                    <w:bottom w:val="none" w:sz="0" w:space="0" w:color="auto"/>
                    <w:right w:val="none" w:sz="0" w:space="0" w:color="auto"/>
                  </w:divBdr>
                  <w:divsChild>
                    <w:div w:id="1158769537">
                      <w:marLeft w:val="0"/>
                      <w:marRight w:val="0"/>
                      <w:marTop w:val="0"/>
                      <w:marBottom w:val="0"/>
                      <w:divBdr>
                        <w:top w:val="none" w:sz="0" w:space="0" w:color="auto"/>
                        <w:left w:val="none" w:sz="0" w:space="0" w:color="auto"/>
                        <w:bottom w:val="none" w:sz="0" w:space="0" w:color="auto"/>
                        <w:right w:val="none" w:sz="0" w:space="0" w:color="auto"/>
                      </w:divBdr>
                      <w:divsChild>
                        <w:div w:id="377167425">
                          <w:marLeft w:val="0"/>
                          <w:marRight w:val="0"/>
                          <w:marTop w:val="0"/>
                          <w:marBottom w:val="0"/>
                          <w:divBdr>
                            <w:top w:val="none" w:sz="0" w:space="0" w:color="auto"/>
                            <w:left w:val="none" w:sz="0" w:space="0" w:color="auto"/>
                            <w:bottom w:val="none" w:sz="0" w:space="0" w:color="auto"/>
                            <w:right w:val="none" w:sz="0" w:space="0" w:color="auto"/>
                          </w:divBdr>
                          <w:divsChild>
                            <w:div w:id="1106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20019">
      <w:bodyDiv w:val="1"/>
      <w:marLeft w:val="0"/>
      <w:marRight w:val="0"/>
      <w:marTop w:val="0"/>
      <w:marBottom w:val="0"/>
      <w:divBdr>
        <w:top w:val="none" w:sz="0" w:space="0" w:color="auto"/>
        <w:left w:val="none" w:sz="0" w:space="0" w:color="auto"/>
        <w:bottom w:val="none" w:sz="0" w:space="0" w:color="auto"/>
        <w:right w:val="none" w:sz="0" w:space="0" w:color="auto"/>
      </w:divBdr>
    </w:div>
    <w:div w:id="1316032174">
      <w:bodyDiv w:val="1"/>
      <w:marLeft w:val="0"/>
      <w:marRight w:val="0"/>
      <w:marTop w:val="0"/>
      <w:marBottom w:val="0"/>
      <w:divBdr>
        <w:top w:val="none" w:sz="0" w:space="0" w:color="auto"/>
        <w:left w:val="none" w:sz="0" w:space="0" w:color="auto"/>
        <w:bottom w:val="none" w:sz="0" w:space="0" w:color="auto"/>
        <w:right w:val="none" w:sz="0" w:space="0" w:color="auto"/>
      </w:divBdr>
      <w:divsChild>
        <w:div w:id="140968306">
          <w:marLeft w:val="0"/>
          <w:marRight w:val="0"/>
          <w:marTop w:val="0"/>
          <w:marBottom w:val="0"/>
          <w:divBdr>
            <w:top w:val="none" w:sz="0" w:space="0" w:color="auto"/>
            <w:left w:val="none" w:sz="0" w:space="0" w:color="auto"/>
            <w:bottom w:val="none" w:sz="0" w:space="0" w:color="auto"/>
            <w:right w:val="none" w:sz="0" w:space="0" w:color="auto"/>
          </w:divBdr>
        </w:div>
        <w:div w:id="588974496">
          <w:marLeft w:val="0"/>
          <w:marRight w:val="0"/>
          <w:marTop w:val="0"/>
          <w:marBottom w:val="0"/>
          <w:divBdr>
            <w:top w:val="none" w:sz="0" w:space="0" w:color="auto"/>
            <w:left w:val="none" w:sz="0" w:space="0" w:color="auto"/>
            <w:bottom w:val="none" w:sz="0" w:space="0" w:color="auto"/>
            <w:right w:val="none" w:sz="0" w:space="0" w:color="auto"/>
          </w:divBdr>
          <w:divsChild>
            <w:div w:id="1909802143">
              <w:marLeft w:val="0"/>
              <w:marRight w:val="0"/>
              <w:marTop w:val="0"/>
              <w:marBottom w:val="0"/>
              <w:divBdr>
                <w:top w:val="none" w:sz="0" w:space="0" w:color="auto"/>
                <w:left w:val="none" w:sz="0" w:space="0" w:color="auto"/>
                <w:bottom w:val="none" w:sz="0" w:space="0" w:color="auto"/>
                <w:right w:val="none" w:sz="0" w:space="0" w:color="auto"/>
              </w:divBdr>
              <w:divsChild>
                <w:div w:id="570576537">
                  <w:marLeft w:val="0"/>
                  <w:marRight w:val="0"/>
                  <w:marTop w:val="0"/>
                  <w:marBottom w:val="0"/>
                  <w:divBdr>
                    <w:top w:val="none" w:sz="0" w:space="0" w:color="auto"/>
                    <w:left w:val="none" w:sz="0" w:space="0" w:color="auto"/>
                    <w:bottom w:val="none" w:sz="0" w:space="0" w:color="auto"/>
                    <w:right w:val="none" w:sz="0" w:space="0" w:color="auto"/>
                  </w:divBdr>
                  <w:divsChild>
                    <w:div w:id="1588230190">
                      <w:marLeft w:val="0"/>
                      <w:marRight w:val="0"/>
                      <w:marTop w:val="0"/>
                      <w:marBottom w:val="0"/>
                      <w:divBdr>
                        <w:top w:val="none" w:sz="0" w:space="0" w:color="auto"/>
                        <w:left w:val="none" w:sz="0" w:space="0" w:color="auto"/>
                        <w:bottom w:val="none" w:sz="0" w:space="0" w:color="auto"/>
                        <w:right w:val="none" w:sz="0" w:space="0" w:color="auto"/>
                      </w:divBdr>
                      <w:divsChild>
                        <w:div w:id="1325203655">
                          <w:marLeft w:val="0"/>
                          <w:marRight w:val="0"/>
                          <w:marTop w:val="0"/>
                          <w:marBottom w:val="0"/>
                          <w:divBdr>
                            <w:top w:val="none" w:sz="0" w:space="0" w:color="auto"/>
                            <w:left w:val="none" w:sz="0" w:space="0" w:color="auto"/>
                            <w:bottom w:val="none" w:sz="0" w:space="0" w:color="auto"/>
                            <w:right w:val="none" w:sz="0" w:space="0" w:color="auto"/>
                          </w:divBdr>
                          <w:divsChild>
                            <w:div w:id="119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346959">
      <w:bodyDiv w:val="1"/>
      <w:marLeft w:val="0"/>
      <w:marRight w:val="0"/>
      <w:marTop w:val="0"/>
      <w:marBottom w:val="0"/>
      <w:divBdr>
        <w:top w:val="none" w:sz="0" w:space="0" w:color="auto"/>
        <w:left w:val="none" w:sz="0" w:space="0" w:color="auto"/>
        <w:bottom w:val="none" w:sz="0" w:space="0" w:color="auto"/>
        <w:right w:val="none" w:sz="0" w:space="0" w:color="auto"/>
      </w:divBdr>
    </w:div>
    <w:div w:id="17043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bi.nlm.nih.gov/pubmed/?term=Samuels%20S%5BAuthor%5D&amp;cauthor=true&amp;cauthor_uid=197120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Birnbaum%20HG%5BAuthor%5D&amp;cauthor=true&amp;cauthor_uid=1971201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cbi.nlm.nih.gov/pubmed/?term=Meletiche%20D%5BAuthor%5D&amp;cauthor=true&amp;cauthor_uid=19712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bi.nlm.nih.gov/pubmed/?term=Phillips%20AL%5BAuthor%5D&amp;cauthor=true&amp;cauthor_uid=1971201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cbi.nlm.nih.gov/pubmed/?term=Davis%20M%5BAuthor%5D&amp;cauthor=true&amp;cauthor_uid=197120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567F9-C5A3-483E-A4DC-0E8369AA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1753</Words>
  <Characters>9642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UIT</cp:lastModifiedBy>
  <cp:revision>3</cp:revision>
  <cp:lastPrinted>2019-09-06T22:27:00Z</cp:lastPrinted>
  <dcterms:created xsi:type="dcterms:W3CDTF">2019-09-06T22:28:00Z</dcterms:created>
  <dcterms:modified xsi:type="dcterms:W3CDTF">2019-09-12T14:33:00Z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23cdb62b-5aea-30ad-8173-4c2550f8f617</vt:lpwstr>
  </property>
  <property fmtid="{D5CDD505-2E9C-101B-9397-08002B2CF9AE}" pid="24" name="Mendeley Citation Style_1">
    <vt:lpwstr>http://www.zotero.org/styles/vancouver</vt:lpwstr>
  </property>
</Properties>
</file>