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56F885F3"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6023E265">
                <wp:simplePos x="0" y="0"/>
                <wp:positionH relativeFrom="margin">
                  <wp:posOffset>4325942</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22963693" w:rsidR="008F1AC6" w:rsidRPr="005853AF" w:rsidRDefault="008F1AC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FE39AE">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sidR="00FE39AE">
                              <w:rPr>
                                <w:rFonts w:asciiTheme="majorHAnsi" w:hAnsiTheme="majorHAnsi"/>
                                <w:color w:val="595959" w:themeColor="text1" w:themeTint="A6"/>
                                <w:sz w:val="16"/>
                                <w:szCs w:val="16"/>
                                <w:lang w:val="en-US"/>
                              </w:rPr>
                              <w:t>16</w:t>
                            </w:r>
                            <w:r w:rsidR="007C47CF">
                              <w:rPr>
                                <w:rFonts w:asciiTheme="majorHAnsi" w:hAnsiTheme="majorHAnsi"/>
                                <w:color w:val="595959" w:themeColor="text1" w:themeTint="A6"/>
                                <w:sz w:val="16"/>
                                <w:szCs w:val="16"/>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0.6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" stroked="f">
                <v:textbox>
                  <w:txbxContent>
                    <w:p w14:paraId="00E4CC36" w14:textId="22963693" w:rsidR="008F1AC6" w:rsidRPr="005853AF" w:rsidRDefault="008F1AC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FE39AE">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sidR="00FE39AE">
                        <w:rPr>
                          <w:rFonts w:asciiTheme="majorHAnsi" w:hAnsiTheme="majorHAnsi"/>
                          <w:color w:val="595959" w:themeColor="text1" w:themeTint="A6"/>
                          <w:sz w:val="16"/>
                          <w:szCs w:val="16"/>
                          <w:lang w:val="en-US"/>
                        </w:rPr>
                        <w:t>16</w:t>
                      </w:r>
                      <w:r w:rsidR="007C47CF">
                        <w:rPr>
                          <w:rFonts w:asciiTheme="majorHAnsi" w:hAnsiTheme="majorHAnsi"/>
                          <w:color w:val="595959" w:themeColor="text1" w:themeTint="A6"/>
                          <w:sz w:val="16"/>
                          <w:szCs w:val="16"/>
                          <w:lang w:val="en-US"/>
                        </w:rPr>
                        <w:t>5</w:t>
                      </w:r>
                    </w:p>
                  </w:txbxContent>
                </v:textbox>
                <w10:wrap anchorx="margin"/>
              </v:rect>
            </w:pict>
          </mc:Fallback>
        </mc:AlternateContent>
      </w:r>
      <w:r w:rsidR="00960EE5">
        <w:rPr>
          <w:noProof/>
          <w:lang w:val="es-CO" w:eastAsia="es-CO"/>
        </w:rPr>
        <w:pict w14:anchorId="3753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37.55pt;width:55.85pt;height:56.35pt;z-index:-251656704;mso-position-horizontal-relative:text;mso-position-vertical-relative:text">
            <v:imagedata r:id="rId8" o:title=""/>
          </v:shape>
        </w:pict>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http://schemas.microsoft.com/office/drawing/2014/chartex" w="9525">
                              <a:solidFill>
                                <a:srgbClr val="000000"/>
                              </a:solidFill>
                              <a:miter lim="800000"/>
                              <a:headEnd/>
                              <a:tailEnd/>
                            </a14:hiddenLine>
                          </a:ext>
                        </a:extLst>
                      </wps:spPr>
                      <wps:txbx>
                        <w:txbxContent>
                          <w:p w14:paraId="587B20A0" w14:textId="1974869B" w:rsidR="008F1AC6" w:rsidRPr="00307B53" w:rsidRDefault="008F1AC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30489C">
                              <w:rPr>
                                <w:rFonts w:asciiTheme="majorHAnsi" w:hAnsiTheme="majorHAnsi"/>
                              </w:rPr>
                              <w:t>DE REVISIÓN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" stroked="f">
                <v:textbox>
                  <w:txbxContent>
                    <w:p w14:paraId="587B20A0" w14:textId="1974869B" w:rsidR="008F1AC6" w:rsidRPr="00307B53" w:rsidRDefault="008F1AC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30489C">
                        <w:rPr>
                          <w:rFonts w:asciiTheme="majorHAnsi" w:hAnsiTheme="majorHAnsi"/>
                        </w:rPr>
                        <w:t>DE REVISIÓN</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7C46C9CD" w14:textId="77777777" w:rsidR="00AB3F13" w:rsidRPr="00B73A62" w:rsidRDefault="00AB3F13" w:rsidP="00AB3F13">
      <w:pPr>
        <w:autoSpaceDE w:val="0"/>
        <w:autoSpaceDN w:val="0"/>
        <w:adjustRightInd w:val="0"/>
        <w:spacing w:after="0" w:line="240" w:lineRule="auto"/>
        <w:jc w:val="center"/>
        <w:rPr>
          <w:rFonts w:asciiTheme="majorHAnsi" w:hAnsiTheme="majorHAnsi" w:cs="Times New Roman"/>
          <w:b/>
          <w:sz w:val="26"/>
          <w:szCs w:val="26"/>
        </w:rPr>
      </w:pPr>
      <w:r w:rsidRPr="00B73A62">
        <w:rPr>
          <w:rFonts w:asciiTheme="majorHAnsi" w:hAnsiTheme="majorHAnsi" w:cs="Times New Roman"/>
          <w:b/>
          <w:sz w:val="26"/>
          <w:szCs w:val="26"/>
        </w:rPr>
        <w:t xml:space="preserve">Grupos sanguíneos y su relación con los niveles plasmáticos del Factor </w:t>
      </w:r>
    </w:p>
    <w:p w14:paraId="5E9C7C5D" w14:textId="42B8ABC4" w:rsidR="00FB0182" w:rsidRPr="0027242B" w:rsidRDefault="00AB3F13" w:rsidP="00AB3F13">
      <w:pPr>
        <w:autoSpaceDE w:val="0"/>
        <w:autoSpaceDN w:val="0"/>
        <w:adjustRightInd w:val="0"/>
        <w:spacing w:after="0" w:line="240" w:lineRule="auto"/>
        <w:jc w:val="center"/>
        <w:rPr>
          <w:rFonts w:asciiTheme="majorHAnsi" w:hAnsiTheme="majorHAnsi" w:cs="Times New Roman"/>
          <w:b/>
          <w:sz w:val="26"/>
          <w:szCs w:val="26"/>
          <w:lang w:val="en-US"/>
        </w:rPr>
      </w:pPr>
      <w:r w:rsidRPr="00C7309B">
        <w:rPr>
          <w:rFonts w:asciiTheme="majorHAnsi" w:hAnsiTheme="majorHAnsi" w:cs="Times New Roman"/>
          <w:b/>
          <w:sz w:val="26"/>
          <w:szCs w:val="26"/>
          <w:lang w:val="en-US"/>
        </w:rPr>
        <w:t>de von Willebrand</w:t>
      </w:r>
    </w:p>
    <w:p w14:paraId="345BE536" w14:textId="0E6855A5" w:rsidR="00FB0182" w:rsidRPr="0027242B" w:rsidRDefault="00FB0182" w:rsidP="00FB2F0D">
      <w:pPr>
        <w:spacing w:after="0" w:line="240" w:lineRule="auto"/>
        <w:jc w:val="center"/>
        <w:rPr>
          <w:rFonts w:asciiTheme="majorHAnsi" w:eastAsia="Calibri" w:hAnsiTheme="majorHAnsi" w:cs="Arial"/>
          <w:b/>
          <w:sz w:val="20"/>
          <w:szCs w:val="20"/>
          <w:lang w:val="en-US"/>
        </w:rPr>
      </w:pPr>
    </w:p>
    <w:p w14:paraId="5BBE91E6" w14:textId="7FBEB0DC" w:rsidR="00C54203" w:rsidRDefault="00415064" w:rsidP="00415064">
      <w:pPr>
        <w:autoSpaceDE w:val="0"/>
        <w:autoSpaceDN w:val="0"/>
        <w:adjustRightInd w:val="0"/>
        <w:spacing w:after="0" w:line="240" w:lineRule="auto"/>
        <w:jc w:val="center"/>
        <w:rPr>
          <w:rFonts w:ascii="Century Gothic" w:eastAsia="Times New Roman" w:hAnsi="Century Gothic" w:cs="Times New Roman"/>
          <w:color w:val="000000" w:themeColor="text1"/>
          <w:sz w:val="18"/>
          <w:szCs w:val="18"/>
          <w:lang w:val="en-US"/>
        </w:rPr>
      </w:pPr>
      <w:r w:rsidRPr="00415064">
        <w:rPr>
          <w:rFonts w:ascii="Century Gothic" w:eastAsia="Times New Roman" w:hAnsi="Century Gothic" w:cs="Times New Roman"/>
          <w:color w:val="000000" w:themeColor="text1"/>
          <w:sz w:val="18"/>
          <w:szCs w:val="18"/>
          <w:lang w:val="en-US"/>
        </w:rPr>
        <w:t>Blood groups and their relationship with plasma levels of von Willebrand Factor</w:t>
      </w:r>
    </w:p>
    <w:p w14:paraId="5193EC78" w14:textId="77777777" w:rsidR="00415064" w:rsidRDefault="00415064" w:rsidP="00415064">
      <w:pPr>
        <w:autoSpaceDE w:val="0"/>
        <w:autoSpaceDN w:val="0"/>
        <w:adjustRightInd w:val="0"/>
        <w:spacing w:after="0" w:line="240" w:lineRule="auto"/>
        <w:jc w:val="center"/>
        <w:rPr>
          <w:rFonts w:asciiTheme="majorHAnsi" w:hAnsiTheme="majorHAnsi" w:cs="Times New Roman"/>
          <w:b/>
          <w:sz w:val="17"/>
          <w:szCs w:val="17"/>
          <w:lang w:val="en-US"/>
        </w:rPr>
      </w:pPr>
    </w:p>
    <w:p w14:paraId="7B4E2DE5" w14:textId="77777777" w:rsidR="00A930FC" w:rsidRPr="00D202BE" w:rsidRDefault="00A930FC" w:rsidP="00415064">
      <w:pPr>
        <w:autoSpaceDE w:val="0"/>
        <w:autoSpaceDN w:val="0"/>
        <w:adjustRightInd w:val="0"/>
        <w:spacing w:after="0" w:line="240" w:lineRule="auto"/>
        <w:jc w:val="center"/>
        <w:rPr>
          <w:rFonts w:asciiTheme="majorHAnsi" w:hAnsiTheme="majorHAnsi" w:cs="Times New Roman"/>
          <w:b/>
          <w:sz w:val="17"/>
          <w:szCs w:val="17"/>
          <w:lang w:val="en-US"/>
        </w:rPr>
      </w:pPr>
    </w:p>
    <w:p w14:paraId="38F01313" w14:textId="38D6B964" w:rsidR="006647E1" w:rsidRPr="00D202BE" w:rsidRDefault="00D71D66" w:rsidP="00D642E5">
      <w:pPr>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5B99BF3C">
                <wp:simplePos x="0" y="0"/>
                <wp:positionH relativeFrom="margin">
                  <wp:posOffset>4714240</wp:posOffset>
                </wp:positionH>
                <wp:positionV relativeFrom="paragraph">
                  <wp:posOffset>142544</wp:posOffset>
                </wp:positionV>
                <wp:extent cx="4777740" cy="214631"/>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1"/>
                        </a:xfrm>
                        <a:prstGeom prst="rect">
                          <a:avLst/>
                        </a:prstGeom>
                        <a:solidFill>
                          <a:srgbClr val="FFFFFF"/>
                        </a:solidFill>
                        <a:ln>
                          <a:noFill/>
                        </a:ln>
                        <a:extLs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http://schemas.microsoft.com/office/drawing/2014/chartex" w="9525">
                              <a:solidFill>
                                <a:srgbClr val="000000"/>
                              </a:solidFill>
                              <a:miter lim="800000"/>
                              <a:headEnd/>
                              <a:tailEnd/>
                            </a14:hiddenLine>
                          </a:ext>
                        </a:extLst>
                      </wps:spPr>
                      <wps:txbx>
                        <w:txbxContent>
                          <w:p w14:paraId="2493D1F4" w14:textId="77777777" w:rsidR="008F1AC6" w:rsidRPr="006053A3" w:rsidRDefault="008F1AC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2pt;margin-top:11.2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" stroked="f">
                <v:textbox style="layout-flow:vertical;mso-layout-flow-alt:bottom-to-top">
                  <w:txbxContent>
                    <w:p w14:paraId="2493D1F4" w14:textId="77777777" w:rsidR="008F1AC6" w:rsidRPr="006053A3" w:rsidRDefault="008F1AC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AB3F13">
        <w:rPr>
          <w:rFonts w:ascii="Century Gothic" w:eastAsia="Calibri" w:hAnsi="Century Gothic" w:cs="Times New Roman"/>
          <w:b/>
          <w:iCs/>
          <w:sz w:val="17"/>
          <w:szCs w:val="17"/>
        </w:rPr>
        <w:t>Yusselfy Márquez-Benítez</w:t>
      </w:r>
      <w:r w:rsidR="00B14027" w:rsidRPr="00D202BE">
        <w:rPr>
          <w:rFonts w:ascii="Century Gothic" w:eastAsia="Calibri" w:hAnsi="Century Gothic" w:cs="Times New Roman"/>
          <w:b/>
          <w:iCs/>
          <w:sz w:val="17"/>
          <w:szCs w:val="17"/>
          <w:vertAlign w:val="superscript"/>
        </w:rPr>
        <w:t>1</w:t>
      </w:r>
      <w:r w:rsidR="00961F5F">
        <w:rPr>
          <w:rFonts w:ascii="Century Gothic" w:eastAsia="Calibri" w:hAnsi="Century Gothic" w:cs="Times New Roman"/>
          <w:b/>
          <w:iCs/>
          <w:sz w:val="17"/>
          <w:szCs w:val="17"/>
        </w:rPr>
        <w:t>*</w:t>
      </w:r>
      <w:r w:rsidR="001023FB" w:rsidRPr="00D202BE">
        <w:rPr>
          <w:rFonts w:ascii="Century Gothic" w:eastAsia="Calibri" w:hAnsi="Century Gothic" w:cs="Times New Roman"/>
          <w:b/>
          <w:iCs/>
          <w:sz w:val="17"/>
          <w:szCs w:val="17"/>
        </w:rPr>
        <w:t xml:space="preserve"> </w:t>
      </w:r>
      <w:r w:rsidR="004776B3" w:rsidRPr="00D202BE">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w:t>
      </w:r>
      <w:r w:rsidR="008F1AC6" w:rsidRPr="008F1AC6">
        <w:rPr>
          <w:rFonts w:ascii="Century Gothic" w:eastAsia="Calibri" w:hAnsi="Century Gothic" w:cs="Times New Roman"/>
          <w:iCs/>
          <w:sz w:val="16"/>
          <w:szCs w:val="16"/>
        </w:rPr>
        <w:t>0000-000</w:t>
      </w:r>
      <w:r w:rsidR="00AB3F13">
        <w:rPr>
          <w:rFonts w:ascii="Century Gothic" w:eastAsia="Calibri" w:hAnsi="Century Gothic" w:cs="Times New Roman"/>
          <w:iCs/>
          <w:sz w:val="16"/>
          <w:szCs w:val="16"/>
        </w:rPr>
        <w:t>2</w:t>
      </w:r>
      <w:r w:rsidR="008F1AC6" w:rsidRPr="008F1AC6">
        <w:rPr>
          <w:rFonts w:ascii="Century Gothic" w:eastAsia="Calibri" w:hAnsi="Century Gothic" w:cs="Times New Roman"/>
          <w:iCs/>
          <w:sz w:val="16"/>
          <w:szCs w:val="16"/>
        </w:rPr>
        <w:t>-7</w:t>
      </w:r>
      <w:r w:rsidR="00AB3F13">
        <w:rPr>
          <w:rFonts w:ascii="Century Gothic" w:eastAsia="Calibri" w:hAnsi="Century Gothic" w:cs="Times New Roman"/>
          <w:iCs/>
          <w:sz w:val="16"/>
          <w:szCs w:val="16"/>
        </w:rPr>
        <w:t>6</w:t>
      </w:r>
      <w:r w:rsidR="008F1AC6" w:rsidRPr="008F1AC6">
        <w:rPr>
          <w:rFonts w:ascii="Century Gothic" w:eastAsia="Calibri" w:hAnsi="Century Gothic" w:cs="Times New Roman"/>
          <w:iCs/>
          <w:sz w:val="16"/>
          <w:szCs w:val="16"/>
        </w:rPr>
        <w:t>7</w:t>
      </w:r>
      <w:r w:rsidR="00AB3F13">
        <w:rPr>
          <w:rFonts w:ascii="Century Gothic" w:eastAsia="Calibri" w:hAnsi="Century Gothic" w:cs="Times New Roman"/>
          <w:iCs/>
          <w:sz w:val="16"/>
          <w:szCs w:val="16"/>
        </w:rPr>
        <w:t>7</w:t>
      </w:r>
      <w:r w:rsidR="008F1AC6" w:rsidRPr="008F1AC6">
        <w:rPr>
          <w:rFonts w:ascii="Century Gothic" w:eastAsia="Calibri" w:hAnsi="Century Gothic" w:cs="Times New Roman"/>
          <w:iCs/>
          <w:sz w:val="16"/>
          <w:szCs w:val="16"/>
        </w:rPr>
        <w:t>-</w:t>
      </w:r>
      <w:r w:rsidR="00AB3F13">
        <w:rPr>
          <w:rFonts w:ascii="Century Gothic" w:eastAsia="Calibri" w:hAnsi="Century Gothic" w:cs="Times New Roman"/>
          <w:iCs/>
          <w:sz w:val="16"/>
          <w:szCs w:val="16"/>
        </w:rPr>
        <w:t>6329</w:t>
      </w:r>
    </w:p>
    <w:p w14:paraId="6D1896AB" w14:textId="36915BB1" w:rsidR="00B14027" w:rsidRPr="00D202BE" w:rsidRDefault="00AB3F13" w:rsidP="00D642E5">
      <w:pPr>
        <w:autoSpaceDE w:val="0"/>
        <w:autoSpaceDN w:val="0"/>
        <w:adjustRightInd w:val="0"/>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Adriana María</w:t>
      </w:r>
      <w:r w:rsidR="008F1AC6">
        <w:rPr>
          <w:rFonts w:ascii="Century Gothic" w:eastAsia="Calibri" w:hAnsi="Century Gothic" w:cs="Times New Roman"/>
          <w:b/>
          <w:iCs/>
          <w:sz w:val="17"/>
          <w:szCs w:val="17"/>
        </w:rPr>
        <w:t xml:space="preserve"> </w:t>
      </w:r>
      <w:r>
        <w:rPr>
          <w:rFonts w:ascii="Century Gothic" w:eastAsia="Calibri" w:hAnsi="Century Gothic" w:cs="Times New Roman"/>
          <w:b/>
          <w:iCs/>
          <w:sz w:val="17"/>
          <w:szCs w:val="17"/>
        </w:rPr>
        <w:t>Lancheros-Silva</w:t>
      </w:r>
      <w:r>
        <w:rPr>
          <w:rFonts w:ascii="Century Gothic" w:eastAsia="Calibri" w:hAnsi="Century Gothic" w:cs="Times New Roman"/>
          <w:b/>
          <w:iCs/>
          <w:sz w:val="17"/>
          <w:szCs w:val="17"/>
          <w:vertAlign w:val="superscript"/>
        </w:rPr>
        <w:t>1</w:t>
      </w:r>
      <w:r w:rsidR="001023FB" w:rsidRPr="00D202BE">
        <w:rPr>
          <w:rFonts w:ascii="Century Gothic" w:eastAsia="Calibri" w:hAnsi="Century Gothic" w:cs="Times New Roman"/>
          <w:b/>
          <w:iCs/>
          <w:sz w:val="17"/>
          <w:szCs w:val="17"/>
        </w:rPr>
        <w:t xml:space="preserve"> </w:t>
      </w:r>
      <w:r w:rsidR="00153F9B" w:rsidRPr="00D202BE">
        <w:rPr>
          <w:rFonts w:ascii="Century Gothic" w:eastAsia="Calibri" w:hAnsi="Century Gothic" w:cs="Times New Roman"/>
          <w:b/>
          <w:iCs/>
          <w:sz w:val="17"/>
          <w:szCs w:val="17"/>
        </w:rPr>
        <w:t xml:space="preserve"> </w:t>
      </w:r>
      <w:r w:rsidR="001023FB" w:rsidRPr="00D202BE">
        <w:rPr>
          <w:rFonts w:ascii="Century Gothic" w:eastAsia="Calibri" w:hAnsi="Century Gothic" w:cs="Times New Roman"/>
          <w:iCs/>
          <w:sz w:val="16"/>
          <w:szCs w:val="16"/>
        </w:rPr>
        <w:t>orcid.org/</w:t>
      </w:r>
      <w:r w:rsidR="008F1AC6" w:rsidRPr="008F1AC6">
        <w:rPr>
          <w:rFonts w:ascii="Century Gothic" w:eastAsia="Calibri" w:hAnsi="Century Gothic" w:cs="Times New Roman"/>
          <w:iCs/>
          <w:sz w:val="16"/>
          <w:szCs w:val="16"/>
        </w:rPr>
        <w:t>0000-0003-</w:t>
      </w:r>
      <w:r>
        <w:rPr>
          <w:rFonts w:ascii="Century Gothic" w:eastAsia="Calibri" w:hAnsi="Century Gothic" w:cs="Times New Roman"/>
          <w:iCs/>
          <w:sz w:val="16"/>
          <w:szCs w:val="16"/>
        </w:rPr>
        <w:t>0639</w:t>
      </w:r>
      <w:r w:rsidR="008F1AC6" w:rsidRPr="008F1AC6">
        <w:rPr>
          <w:rFonts w:ascii="Century Gothic" w:eastAsia="Calibri" w:hAnsi="Century Gothic" w:cs="Times New Roman"/>
          <w:iCs/>
          <w:sz w:val="16"/>
          <w:szCs w:val="16"/>
        </w:rPr>
        <w:t>-</w:t>
      </w:r>
      <w:r>
        <w:rPr>
          <w:rFonts w:ascii="Century Gothic" w:eastAsia="Calibri" w:hAnsi="Century Gothic" w:cs="Times New Roman"/>
          <w:iCs/>
          <w:sz w:val="16"/>
          <w:szCs w:val="16"/>
        </w:rPr>
        <w:t>4373</w:t>
      </w:r>
    </w:p>
    <w:p w14:paraId="4828B3DE" w14:textId="71E6D88F" w:rsidR="005E2DEB" w:rsidRPr="00AB3F13" w:rsidRDefault="008F1AC6" w:rsidP="00AB3F13">
      <w:pPr>
        <w:autoSpaceDE w:val="0"/>
        <w:autoSpaceDN w:val="0"/>
        <w:adjustRightInd w:val="0"/>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Est</w:t>
      </w:r>
      <w:r w:rsidR="00AB3F13">
        <w:rPr>
          <w:rFonts w:ascii="Century Gothic" w:eastAsia="Calibri" w:hAnsi="Century Gothic" w:cs="Times New Roman"/>
          <w:b/>
          <w:iCs/>
          <w:sz w:val="17"/>
          <w:szCs w:val="17"/>
        </w:rPr>
        <w:t>éfani Díaz</w:t>
      </w:r>
      <w:r w:rsidR="004E6331">
        <w:rPr>
          <w:rFonts w:ascii="Century Gothic" w:eastAsia="Calibri" w:hAnsi="Century Gothic" w:cs="Times New Roman"/>
          <w:b/>
          <w:iCs/>
          <w:sz w:val="17"/>
          <w:szCs w:val="17"/>
        </w:rPr>
        <w:t>-</w:t>
      </w:r>
      <w:r w:rsidR="0030489C">
        <w:rPr>
          <w:rFonts w:ascii="Century Gothic" w:eastAsia="Calibri" w:hAnsi="Century Gothic" w:cs="Times New Roman"/>
          <w:b/>
          <w:iCs/>
          <w:sz w:val="17"/>
          <w:szCs w:val="17"/>
        </w:rPr>
        <w:t>Cha</w:t>
      </w:r>
      <w:r w:rsidR="00AB3F13">
        <w:rPr>
          <w:rFonts w:ascii="Century Gothic" w:eastAsia="Calibri" w:hAnsi="Century Gothic" w:cs="Times New Roman"/>
          <w:b/>
          <w:iCs/>
          <w:sz w:val="17"/>
          <w:szCs w:val="17"/>
        </w:rPr>
        <w:t>ve</w:t>
      </w:r>
      <w:r w:rsidR="0030489C">
        <w:rPr>
          <w:rFonts w:ascii="Century Gothic" w:eastAsia="Calibri" w:hAnsi="Century Gothic" w:cs="Times New Roman"/>
          <w:b/>
          <w:iCs/>
          <w:sz w:val="17"/>
          <w:szCs w:val="17"/>
        </w:rPr>
        <w:t>s</w:t>
      </w:r>
      <w:r w:rsidR="00AB3F13">
        <w:rPr>
          <w:rFonts w:ascii="Century Gothic" w:eastAsia="Calibri" w:hAnsi="Century Gothic" w:cs="Times New Roman"/>
          <w:b/>
          <w:iCs/>
          <w:sz w:val="17"/>
          <w:szCs w:val="17"/>
          <w:vertAlign w:val="superscript"/>
        </w:rPr>
        <w:t>2</w:t>
      </w:r>
      <w:r w:rsidR="00667CA5" w:rsidRPr="00D202BE">
        <w:rPr>
          <w:rFonts w:ascii="Century Gothic" w:eastAsia="Calibri" w:hAnsi="Century Gothic" w:cs="Times New Roman"/>
          <w:b/>
          <w:iCs/>
          <w:sz w:val="17"/>
          <w:szCs w:val="17"/>
        </w:rPr>
        <w:t xml:space="preserve">  </w:t>
      </w:r>
      <w:r w:rsidR="00667CA5" w:rsidRPr="00D202BE">
        <w:rPr>
          <w:rFonts w:ascii="Century Gothic" w:eastAsia="Calibri" w:hAnsi="Century Gothic" w:cs="Times New Roman"/>
          <w:iCs/>
          <w:sz w:val="16"/>
          <w:szCs w:val="16"/>
        </w:rPr>
        <w:t>orcid.org/</w:t>
      </w:r>
      <w:r w:rsidRPr="008F1AC6">
        <w:rPr>
          <w:rFonts w:ascii="Century Gothic" w:eastAsia="Calibri" w:hAnsi="Century Gothic" w:cs="Times New Roman"/>
          <w:iCs/>
          <w:sz w:val="16"/>
          <w:szCs w:val="16"/>
        </w:rPr>
        <w:t>0000-000</w:t>
      </w:r>
      <w:r w:rsidR="00AB3F13">
        <w:rPr>
          <w:rFonts w:ascii="Century Gothic" w:eastAsia="Calibri" w:hAnsi="Century Gothic" w:cs="Times New Roman"/>
          <w:iCs/>
          <w:sz w:val="16"/>
          <w:szCs w:val="16"/>
        </w:rPr>
        <w:t>2</w:t>
      </w:r>
      <w:r w:rsidRPr="008F1AC6">
        <w:rPr>
          <w:rFonts w:ascii="Century Gothic" w:eastAsia="Calibri" w:hAnsi="Century Gothic" w:cs="Times New Roman"/>
          <w:iCs/>
          <w:sz w:val="16"/>
          <w:szCs w:val="16"/>
        </w:rPr>
        <w:t>-</w:t>
      </w:r>
      <w:r w:rsidR="00AB3F13">
        <w:rPr>
          <w:rFonts w:ascii="Century Gothic" w:eastAsia="Calibri" w:hAnsi="Century Gothic" w:cs="Times New Roman"/>
          <w:iCs/>
          <w:sz w:val="16"/>
          <w:szCs w:val="16"/>
        </w:rPr>
        <w:t>4461</w:t>
      </w:r>
      <w:r w:rsidRPr="008F1AC6">
        <w:rPr>
          <w:rFonts w:ascii="Century Gothic" w:eastAsia="Calibri" w:hAnsi="Century Gothic" w:cs="Times New Roman"/>
          <w:iCs/>
          <w:sz w:val="16"/>
          <w:szCs w:val="16"/>
        </w:rPr>
        <w:t>-4</w:t>
      </w:r>
      <w:r w:rsidR="00AB3F13">
        <w:rPr>
          <w:rFonts w:ascii="Century Gothic" w:eastAsia="Calibri" w:hAnsi="Century Gothic" w:cs="Times New Roman"/>
          <w:iCs/>
          <w:sz w:val="16"/>
          <w:szCs w:val="16"/>
        </w:rPr>
        <w:t>923</w:t>
      </w:r>
    </w:p>
    <w:p w14:paraId="5C893093" w14:textId="7FA67259" w:rsidR="005E2DEB" w:rsidRPr="00B23C7C" w:rsidRDefault="005E2DEB" w:rsidP="00D642E5">
      <w:pPr>
        <w:autoSpaceDE w:val="0"/>
        <w:autoSpaceDN w:val="0"/>
        <w:adjustRightInd w:val="0"/>
        <w:spacing w:after="0" w:line="360" w:lineRule="auto"/>
        <w:jc w:val="center"/>
        <w:rPr>
          <w:rFonts w:ascii="Century Gothic" w:eastAsia="Calibri" w:hAnsi="Century Gothic" w:cs="Times New Roman"/>
          <w:b/>
          <w:iCs/>
          <w:sz w:val="14"/>
          <w:szCs w:val="17"/>
        </w:rPr>
      </w:pPr>
    </w:p>
    <w:p w14:paraId="16196AF2" w14:textId="4ADF813E" w:rsidR="00177335" w:rsidRPr="00D202BE"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68287CD6" w14:textId="0F6F03F6" w:rsidR="00667CA5" w:rsidRPr="00FD343E" w:rsidRDefault="00AB3F13"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Pr>
          <w:rFonts w:ascii="Century Gothic" w:eastAsia="Times New Roman" w:hAnsi="Century Gothic" w:cs="Times New Roman"/>
          <w:sz w:val="16"/>
          <w:szCs w:val="16"/>
        </w:rPr>
        <w:t>Grupo de Investigación Bacteriología y Laboratorio Clínico (GRIBAC), Universidad de Boyacá</w:t>
      </w:r>
      <w:r w:rsidR="00BC4951" w:rsidRPr="00D202BE">
        <w:rPr>
          <w:rFonts w:ascii="Century Gothic" w:eastAsia="Times New Roman" w:hAnsi="Century Gothic" w:cs="Times New Roman"/>
          <w:sz w:val="16"/>
          <w:szCs w:val="16"/>
        </w:rPr>
        <w:t xml:space="preserve">. </w:t>
      </w:r>
      <w:r>
        <w:rPr>
          <w:rFonts w:ascii="Century Gothic" w:eastAsia="Times New Roman" w:hAnsi="Century Gothic" w:cs="Times New Roman"/>
          <w:sz w:val="16"/>
          <w:szCs w:val="16"/>
        </w:rPr>
        <w:t>Boyacá</w:t>
      </w:r>
      <w:r w:rsidR="00BC4951" w:rsidRPr="00D202BE">
        <w:rPr>
          <w:rFonts w:ascii="Century Gothic" w:eastAsia="Times New Roman" w:hAnsi="Century Gothic" w:cs="Times New Roman"/>
          <w:sz w:val="16"/>
          <w:szCs w:val="16"/>
        </w:rPr>
        <w:t>, Colombia</w:t>
      </w:r>
    </w:p>
    <w:p w14:paraId="2E6F6FF0" w14:textId="4E006195" w:rsidR="008F1AC6" w:rsidRPr="00AB3F13" w:rsidRDefault="00AB3F13" w:rsidP="00AB3F13">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Pr>
          <w:rFonts w:ascii="Century Gothic" w:eastAsia="Times New Roman" w:hAnsi="Century Gothic" w:cs="Times New Roman"/>
          <w:sz w:val="16"/>
          <w:szCs w:val="16"/>
        </w:rPr>
        <w:t>Programa de Bacteriología y Laboratorio Clínico, Universidad de Boyacá</w:t>
      </w:r>
      <w:r w:rsidRPr="00D202BE">
        <w:rPr>
          <w:rFonts w:ascii="Century Gothic" w:eastAsia="Times New Roman" w:hAnsi="Century Gothic" w:cs="Times New Roman"/>
          <w:sz w:val="16"/>
          <w:szCs w:val="16"/>
        </w:rPr>
        <w:t xml:space="preserve">. </w:t>
      </w:r>
      <w:r>
        <w:rPr>
          <w:rFonts w:ascii="Century Gothic" w:eastAsia="Times New Roman" w:hAnsi="Century Gothic" w:cs="Times New Roman"/>
          <w:sz w:val="16"/>
          <w:szCs w:val="16"/>
        </w:rPr>
        <w:t>Boyacá, Colombia</w:t>
      </w:r>
    </w:p>
    <w:p w14:paraId="557DB75C" w14:textId="5D00A2E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51EA656A"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AB3F13">
        <w:rPr>
          <w:rFonts w:ascii="Century Gothic" w:eastAsia="Calibri" w:hAnsi="Century Gothic" w:cs="Times New Roman"/>
          <w:iCs/>
          <w:sz w:val="16"/>
          <w:szCs w:val="14"/>
        </w:rPr>
        <w:t>Noviembre</w:t>
      </w:r>
      <w:r w:rsidR="00EC6616" w:rsidRPr="00D202BE">
        <w:rPr>
          <w:rFonts w:ascii="Century Gothic" w:eastAsia="Calibri" w:hAnsi="Century Gothic" w:cs="Times New Roman"/>
          <w:iCs/>
          <w:sz w:val="16"/>
          <w:szCs w:val="14"/>
        </w:rPr>
        <w:t xml:space="preserve"> </w:t>
      </w:r>
      <w:r w:rsidR="00AB3F13">
        <w:rPr>
          <w:rFonts w:ascii="Century Gothic" w:eastAsia="Calibri" w:hAnsi="Century Gothic" w:cs="Times New Roman"/>
          <w:iCs/>
          <w:sz w:val="16"/>
          <w:szCs w:val="14"/>
        </w:rPr>
        <w:t>23</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AB3F13">
        <w:rPr>
          <w:rFonts w:ascii="Century Gothic" w:eastAsia="Calibri" w:hAnsi="Century Gothic" w:cs="Times New Roman"/>
          <w:iCs/>
          <w:sz w:val="16"/>
          <w:szCs w:val="14"/>
        </w:rPr>
        <w:t>7</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AB3F13">
        <w:rPr>
          <w:rFonts w:ascii="Century Gothic" w:eastAsia="Calibri" w:hAnsi="Century Gothic" w:cs="Times New Roman"/>
          <w:iCs/>
          <w:sz w:val="16"/>
          <w:szCs w:val="14"/>
        </w:rPr>
        <w:t xml:space="preserve"> </w:t>
      </w:r>
      <w:r w:rsidR="00A930FC">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AB3F13">
        <w:rPr>
          <w:rFonts w:ascii="Century Gothic" w:eastAsia="Calibri" w:hAnsi="Century Gothic" w:cs="Times New Roman"/>
          <w:iCs/>
          <w:sz w:val="16"/>
          <w:szCs w:val="14"/>
        </w:rPr>
        <w:t>Julio</w:t>
      </w:r>
      <w:r w:rsidR="00A221DB" w:rsidRPr="00D202BE">
        <w:rPr>
          <w:rFonts w:ascii="Century Gothic" w:eastAsia="Calibri" w:hAnsi="Century Gothic" w:cs="Times New Roman"/>
          <w:iCs/>
          <w:sz w:val="16"/>
          <w:szCs w:val="14"/>
        </w:rPr>
        <w:t xml:space="preserve"> </w:t>
      </w:r>
      <w:r w:rsidR="00AB3F13">
        <w:rPr>
          <w:rFonts w:ascii="Century Gothic" w:eastAsia="Calibri" w:hAnsi="Century Gothic" w:cs="Times New Roman"/>
          <w:iCs/>
          <w:sz w:val="16"/>
          <w:szCs w:val="14"/>
        </w:rPr>
        <w:t>1</w:t>
      </w:r>
      <w:r w:rsidR="004E6331">
        <w:rPr>
          <w:rFonts w:ascii="Century Gothic" w:eastAsia="Calibri" w:hAnsi="Century Gothic" w:cs="Times New Roman"/>
          <w:iCs/>
          <w:sz w:val="16"/>
          <w:szCs w:val="14"/>
        </w:rPr>
        <w:t>2</w:t>
      </w:r>
      <w:r w:rsidR="005F4AEB" w:rsidRPr="00D202BE">
        <w:rPr>
          <w:rFonts w:ascii="Century Gothic" w:eastAsia="Calibri" w:hAnsi="Century Gothic" w:cs="Times New Roman"/>
          <w:iCs/>
          <w:sz w:val="16"/>
          <w:szCs w:val="14"/>
        </w:rPr>
        <w:t xml:space="preserve"> - 201</w:t>
      </w:r>
      <w:r w:rsidR="00AB3F13">
        <w:rPr>
          <w:rFonts w:ascii="Century Gothic" w:eastAsia="Calibri" w:hAnsi="Century Gothic" w:cs="Times New Roman"/>
          <w:iCs/>
          <w:sz w:val="16"/>
          <w:szCs w:val="14"/>
        </w:rPr>
        <w:t>8</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A930FC">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Pr="00A930FC">
        <w:rPr>
          <w:rFonts w:ascii="Century Gothic" w:eastAsia="Calibri" w:hAnsi="Century Gothic" w:cs="Times New Roman"/>
          <w:iCs/>
          <w:sz w:val="16"/>
          <w:szCs w:val="14"/>
        </w:rPr>
        <w:t>:</w:t>
      </w:r>
      <w:r w:rsidR="00D70D0F" w:rsidRPr="00A930FC">
        <w:rPr>
          <w:rFonts w:ascii="Century Gothic" w:eastAsia="Calibri" w:hAnsi="Century Gothic" w:cs="Times New Roman"/>
          <w:iCs/>
          <w:sz w:val="16"/>
          <w:szCs w:val="14"/>
        </w:rPr>
        <w:t xml:space="preserve"> </w:t>
      </w:r>
      <w:r w:rsidR="004E6331" w:rsidRPr="00A930FC">
        <w:rPr>
          <w:rFonts w:ascii="Century Gothic" w:eastAsia="Calibri" w:hAnsi="Century Gothic" w:cs="Times New Roman"/>
          <w:iCs/>
          <w:sz w:val="16"/>
          <w:szCs w:val="14"/>
        </w:rPr>
        <w:t>Agosto</w:t>
      </w:r>
      <w:r w:rsidR="002416BD" w:rsidRPr="00A930FC">
        <w:rPr>
          <w:rFonts w:ascii="Century Gothic" w:eastAsia="Calibri" w:hAnsi="Century Gothic" w:cs="Times New Roman"/>
          <w:iCs/>
          <w:sz w:val="16"/>
          <w:szCs w:val="14"/>
        </w:rPr>
        <w:t xml:space="preserve"> </w:t>
      </w:r>
      <w:r w:rsidR="00A930FC" w:rsidRPr="00A930FC">
        <w:rPr>
          <w:rFonts w:ascii="Century Gothic" w:eastAsia="Calibri" w:hAnsi="Century Gothic" w:cs="Times New Roman"/>
          <w:iCs/>
          <w:sz w:val="16"/>
          <w:szCs w:val="14"/>
        </w:rPr>
        <w:t>9</w:t>
      </w:r>
      <w:r w:rsidR="002416BD" w:rsidRPr="00A930FC">
        <w:rPr>
          <w:rFonts w:ascii="Century Gothic" w:eastAsia="Calibri" w:hAnsi="Century Gothic" w:cs="Times New Roman"/>
          <w:iCs/>
          <w:sz w:val="16"/>
          <w:szCs w:val="14"/>
        </w:rPr>
        <w:t xml:space="preserve"> </w:t>
      </w:r>
      <w:r w:rsidR="00776C9A" w:rsidRPr="00A930FC">
        <w:rPr>
          <w:rFonts w:ascii="Century Gothic" w:eastAsia="Calibri" w:hAnsi="Century Gothic" w:cs="Times New Roman"/>
          <w:iCs/>
          <w:sz w:val="16"/>
          <w:szCs w:val="14"/>
        </w:rPr>
        <w:t>- 201</w:t>
      </w:r>
      <w:r w:rsidR="004E6331" w:rsidRPr="00A930FC">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4E6331">
        <w:trPr>
          <w:trHeight w:val="567"/>
        </w:trPr>
        <w:tc>
          <w:tcPr>
            <w:tcW w:w="5000" w:type="pct"/>
            <w:tcBorders>
              <w:top w:val="single" w:sz="2" w:space="0" w:color="auto"/>
              <w:bottom w:val="single" w:sz="2" w:space="0" w:color="auto"/>
            </w:tcBorders>
            <w:vAlign w:val="center"/>
          </w:tcPr>
          <w:p w14:paraId="1C62FA52" w14:textId="79AEB972" w:rsidR="00BF66ED" w:rsidRPr="00D202BE" w:rsidRDefault="00AB3F13" w:rsidP="007C47CF">
            <w:pPr>
              <w:autoSpaceDE w:val="0"/>
              <w:autoSpaceDN w:val="0"/>
              <w:adjustRightInd w:val="0"/>
              <w:jc w:val="both"/>
              <w:rPr>
                <w:rFonts w:asciiTheme="majorHAnsi" w:eastAsia="Calibri" w:hAnsiTheme="majorHAnsi" w:cs="Times New Roman"/>
                <w:b/>
                <w:szCs w:val="20"/>
              </w:rPr>
            </w:pPr>
            <w:r>
              <w:rPr>
                <w:rFonts w:asciiTheme="majorHAnsi" w:hAnsiTheme="majorHAnsi" w:cs="Arial"/>
                <w:i/>
                <w:sz w:val="18"/>
                <w:szCs w:val="18"/>
              </w:rPr>
              <w:t>Márquez-</w:t>
            </w:r>
            <w:r w:rsidRPr="00BD4A69">
              <w:rPr>
                <w:rFonts w:asciiTheme="majorHAnsi" w:hAnsiTheme="majorHAnsi" w:cs="Arial"/>
                <w:i/>
                <w:sz w:val="18"/>
                <w:szCs w:val="18"/>
              </w:rPr>
              <w:t>Benítez</w:t>
            </w:r>
            <w:r>
              <w:rPr>
                <w:rFonts w:asciiTheme="majorHAnsi" w:hAnsiTheme="majorHAnsi" w:cs="Arial"/>
                <w:i/>
                <w:sz w:val="18"/>
                <w:szCs w:val="18"/>
              </w:rPr>
              <w:t xml:space="preserve"> Y, </w:t>
            </w:r>
            <w:r w:rsidRPr="00BD4A69">
              <w:rPr>
                <w:rFonts w:asciiTheme="majorHAnsi" w:hAnsiTheme="majorHAnsi" w:cs="Arial"/>
                <w:i/>
                <w:sz w:val="18"/>
                <w:szCs w:val="18"/>
              </w:rPr>
              <w:t>Lancheros</w:t>
            </w:r>
            <w:r>
              <w:rPr>
                <w:rFonts w:asciiTheme="majorHAnsi" w:hAnsiTheme="majorHAnsi" w:cs="Arial"/>
                <w:i/>
                <w:sz w:val="18"/>
                <w:szCs w:val="18"/>
              </w:rPr>
              <w:t>-</w:t>
            </w:r>
            <w:r w:rsidRPr="00BD4A69">
              <w:rPr>
                <w:rFonts w:asciiTheme="majorHAnsi" w:hAnsiTheme="majorHAnsi" w:cs="Arial"/>
                <w:i/>
                <w:sz w:val="18"/>
                <w:szCs w:val="18"/>
              </w:rPr>
              <w:t>Silva</w:t>
            </w:r>
            <w:r>
              <w:rPr>
                <w:rFonts w:asciiTheme="majorHAnsi" w:hAnsiTheme="majorHAnsi" w:cs="Arial"/>
                <w:i/>
                <w:sz w:val="18"/>
                <w:szCs w:val="18"/>
              </w:rPr>
              <w:t xml:space="preserve"> AM, Díaz-</w:t>
            </w:r>
            <w:r w:rsidR="0030489C">
              <w:rPr>
                <w:rFonts w:asciiTheme="majorHAnsi" w:hAnsiTheme="majorHAnsi" w:cs="Arial"/>
                <w:i/>
                <w:sz w:val="18"/>
                <w:szCs w:val="18"/>
              </w:rPr>
              <w:t>Cha</w:t>
            </w:r>
            <w:r w:rsidRPr="00BD4A69">
              <w:rPr>
                <w:rFonts w:asciiTheme="majorHAnsi" w:hAnsiTheme="majorHAnsi" w:cs="Arial"/>
                <w:i/>
                <w:sz w:val="18"/>
                <w:szCs w:val="18"/>
              </w:rPr>
              <w:t>ve</w:t>
            </w:r>
            <w:r w:rsidR="0030489C">
              <w:rPr>
                <w:rFonts w:asciiTheme="majorHAnsi" w:hAnsiTheme="majorHAnsi" w:cs="Arial"/>
                <w:i/>
                <w:sz w:val="18"/>
                <w:szCs w:val="18"/>
              </w:rPr>
              <w:t>s</w:t>
            </w:r>
            <w:r>
              <w:rPr>
                <w:rFonts w:asciiTheme="majorHAnsi" w:hAnsiTheme="majorHAnsi" w:cs="Arial"/>
                <w:i/>
                <w:sz w:val="18"/>
                <w:szCs w:val="18"/>
              </w:rPr>
              <w:t xml:space="preserve"> E</w:t>
            </w:r>
            <w:r w:rsidRPr="00667CA5">
              <w:rPr>
                <w:rFonts w:asciiTheme="majorHAnsi" w:hAnsiTheme="majorHAnsi" w:cs="Arial"/>
                <w:i/>
                <w:sz w:val="18"/>
                <w:szCs w:val="18"/>
              </w:rPr>
              <w:t xml:space="preserve">. </w:t>
            </w:r>
            <w:r w:rsidRPr="00BD4A69">
              <w:rPr>
                <w:rFonts w:asciiTheme="majorHAnsi" w:hAnsiTheme="majorHAnsi" w:cs="Arial"/>
                <w:i/>
                <w:sz w:val="18"/>
                <w:szCs w:val="18"/>
              </w:rPr>
              <w:t>Grupos sanguíneos y su relación con los niveles plasmáticos de factor</w:t>
            </w:r>
            <w:r>
              <w:rPr>
                <w:rFonts w:asciiTheme="majorHAnsi" w:hAnsiTheme="majorHAnsi" w:cs="Arial"/>
                <w:i/>
                <w:sz w:val="18"/>
                <w:szCs w:val="18"/>
              </w:rPr>
              <w:t xml:space="preserve"> Von Willebrand. Univ. Salud. 2019</w:t>
            </w:r>
            <w:r w:rsidRPr="00667CA5">
              <w:rPr>
                <w:rFonts w:asciiTheme="majorHAnsi" w:hAnsiTheme="majorHAnsi" w:cs="Arial"/>
                <w:i/>
                <w:sz w:val="18"/>
                <w:szCs w:val="18"/>
              </w:rPr>
              <w:t>;</w:t>
            </w:r>
            <w:r w:rsidRPr="001727E1">
              <w:rPr>
                <w:rFonts w:asciiTheme="majorHAnsi" w:hAnsiTheme="majorHAnsi" w:cs="Arial"/>
                <w:i/>
                <w:sz w:val="18"/>
                <w:szCs w:val="18"/>
              </w:rPr>
              <w:t>21(</w:t>
            </w:r>
            <w:r w:rsidR="003A4F6A">
              <w:rPr>
                <w:rFonts w:asciiTheme="majorHAnsi" w:hAnsiTheme="majorHAnsi" w:cs="Arial"/>
                <w:i/>
                <w:sz w:val="18"/>
                <w:szCs w:val="18"/>
              </w:rPr>
              <w:t>3</w:t>
            </w:r>
            <w:r w:rsidRPr="001727E1">
              <w:rPr>
                <w:rFonts w:asciiTheme="majorHAnsi" w:hAnsiTheme="majorHAnsi" w:cs="Arial"/>
                <w:i/>
                <w:sz w:val="18"/>
                <w:szCs w:val="18"/>
              </w:rPr>
              <w:t>):</w:t>
            </w:r>
            <w:r w:rsidR="00A930FC">
              <w:rPr>
                <w:rFonts w:asciiTheme="majorHAnsi" w:hAnsiTheme="majorHAnsi" w:cs="Arial"/>
                <w:i/>
                <w:sz w:val="18"/>
                <w:szCs w:val="18"/>
              </w:rPr>
              <w:t>277</w:t>
            </w:r>
            <w:r w:rsidRPr="001727E1">
              <w:rPr>
                <w:rFonts w:asciiTheme="majorHAnsi" w:hAnsiTheme="majorHAnsi" w:cs="Arial"/>
                <w:i/>
                <w:sz w:val="18"/>
                <w:szCs w:val="18"/>
              </w:rPr>
              <w:t>-</w:t>
            </w:r>
            <w:r w:rsidR="00A930FC">
              <w:rPr>
                <w:rFonts w:asciiTheme="majorHAnsi" w:hAnsiTheme="majorHAnsi" w:cs="Arial"/>
                <w:i/>
                <w:sz w:val="18"/>
                <w:szCs w:val="18"/>
              </w:rPr>
              <w:t>287</w:t>
            </w:r>
            <w:r w:rsidRPr="001727E1">
              <w:rPr>
                <w:rFonts w:asciiTheme="majorHAnsi" w:hAnsiTheme="majorHAnsi" w:cs="Arial"/>
                <w:i/>
                <w:sz w:val="18"/>
                <w:szCs w:val="18"/>
              </w:rPr>
              <w:t xml:space="preserve">.  </w:t>
            </w:r>
            <w:r w:rsidRPr="001727E1">
              <w:rPr>
                <w:rFonts w:asciiTheme="majorHAnsi" w:hAnsiTheme="majorHAnsi"/>
                <w:i/>
                <w:sz w:val="18"/>
                <w:szCs w:val="18"/>
                <w:lang w:val="en-US"/>
              </w:rPr>
              <w:t>DOI: http://dx.doi.org/10.22267/rus.19210</w:t>
            </w:r>
            <w:r w:rsidR="00FE39AE">
              <w:rPr>
                <w:rFonts w:asciiTheme="majorHAnsi" w:hAnsiTheme="majorHAnsi"/>
                <w:i/>
                <w:sz w:val="18"/>
                <w:szCs w:val="18"/>
                <w:lang w:val="en-US"/>
              </w:rPr>
              <w:t>3</w:t>
            </w:r>
            <w:r w:rsidRPr="001727E1">
              <w:rPr>
                <w:rFonts w:asciiTheme="majorHAnsi" w:hAnsiTheme="majorHAnsi"/>
                <w:i/>
                <w:sz w:val="18"/>
                <w:szCs w:val="18"/>
                <w:lang w:val="en-US"/>
              </w:rPr>
              <w:t>.1</w:t>
            </w:r>
            <w:r w:rsidR="00FE39AE">
              <w:rPr>
                <w:rFonts w:asciiTheme="majorHAnsi" w:hAnsiTheme="majorHAnsi"/>
                <w:i/>
                <w:sz w:val="18"/>
                <w:szCs w:val="18"/>
                <w:lang w:val="en-US"/>
              </w:rPr>
              <w:t>6</w:t>
            </w:r>
            <w:r w:rsidR="007C47CF">
              <w:rPr>
                <w:rFonts w:asciiTheme="majorHAnsi" w:hAnsiTheme="majorHAnsi"/>
                <w:i/>
                <w:sz w:val="18"/>
                <w:szCs w:val="18"/>
                <w:lang w:val="en-US"/>
              </w:rPr>
              <w:t>5</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2BA1B4C7" w:rsidR="00625AF0" w:rsidRPr="00D202BE" w:rsidRDefault="00AB3F13" w:rsidP="00D16971">
      <w:pPr>
        <w:autoSpaceDE w:val="0"/>
        <w:autoSpaceDN w:val="0"/>
        <w:adjustRightInd w:val="0"/>
        <w:spacing w:after="0" w:line="240" w:lineRule="auto"/>
        <w:jc w:val="both"/>
        <w:rPr>
          <w:rFonts w:ascii="Cambria" w:hAnsi="Cambria" w:cs="Arial"/>
          <w:sz w:val="20"/>
          <w:szCs w:val="20"/>
        </w:rPr>
      </w:pPr>
      <w:r w:rsidRPr="001A0FF5">
        <w:rPr>
          <w:rFonts w:ascii="Cambria" w:eastAsia="Times New Roman" w:hAnsi="Cambria" w:cs="Arial"/>
          <w:b/>
          <w:sz w:val="20"/>
          <w:szCs w:val="20"/>
        </w:rPr>
        <w:t>Introducción:</w:t>
      </w:r>
      <w:r w:rsidRPr="001A0FF5">
        <w:rPr>
          <w:rFonts w:ascii="Cambria" w:eastAsia="Times New Roman" w:hAnsi="Cambria" w:cs="Arial"/>
          <w:sz w:val="20"/>
          <w:szCs w:val="20"/>
        </w:rPr>
        <w:t xml:space="preserve"> El tipo de grupo sanguíneo entre otros factores, influye en los niveles plasmáticos del </w:t>
      </w:r>
      <w:r>
        <w:rPr>
          <w:rFonts w:ascii="Cambria" w:eastAsia="Times New Roman" w:hAnsi="Cambria" w:cs="Arial"/>
          <w:sz w:val="20"/>
          <w:szCs w:val="20"/>
        </w:rPr>
        <w:t>Factor de von Willebrand</w:t>
      </w:r>
      <w:r w:rsidRPr="001A0FF5">
        <w:rPr>
          <w:rFonts w:ascii="Cambria" w:eastAsia="Times New Roman" w:hAnsi="Cambria" w:cs="Arial"/>
          <w:sz w:val="20"/>
          <w:szCs w:val="20"/>
        </w:rPr>
        <w:t xml:space="preserve"> </w:t>
      </w:r>
      <w:r>
        <w:rPr>
          <w:rFonts w:ascii="Cambria" w:eastAsia="Times New Roman" w:hAnsi="Cambria" w:cs="Arial"/>
          <w:sz w:val="20"/>
          <w:szCs w:val="20"/>
        </w:rPr>
        <w:t>(FvW),</w:t>
      </w:r>
      <w:r w:rsidRPr="001A0FF5">
        <w:rPr>
          <w:rFonts w:ascii="Cambria" w:eastAsia="Times New Roman" w:hAnsi="Cambria" w:cs="Arial"/>
          <w:sz w:val="20"/>
          <w:szCs w:val="20"/>
        </w:rPr>
        <w:t xml:space="preserve"> su actividad biológica podría in</w:t>
      </w:r>
      <w:r>
        <w:rPr>
          <w:rFonts w:ascii="Cambria" w:eastAsia="Times New Roman" w:hAnsi="Cambria" w:cs="Arial"/>
          <w:sz w:val="20"/>
          <w:szCs w:val="20"/>
        </w:rPr>
        <w:t>cid</w:t>
      </w:r>
      <w:r w:rsidRPr="001A0FF5">
        <w:rPr>
          <w:rFonts w:ascii="Cambria" w:eastAsia="Times New Roman" w:hAnsi="Cambria" w:cs="Arial"/>
          <w:sz w:val="20"/>
          <w:szCs w:val="20"/>
        </w:rPr>
        <w:t xml:space="preserve">ir en el desarrollo de eventos trombóticos y hemorrágicos. </w:t>
      </w:r>
      <w:r w:rsidRPr="00B75E1D">
        <w:rPr>
          <w:rFonts w:ascii="Cambria" w:eastAsia="Times New Roman" w:hAnsi="Cambria" w:cs="Arial"/>
          <w:b/>
          <w:sz w:val="20"/>
          <w:szCs w:val="20"/>
        </w:rPr>
        <w:t>Objetivo:</w:t>
      </w:r>
      <w:r w:rsidRPr="001A0FF5">
        <w:rPr>
          <w:rFonts w:ascii="Cambria" w:eastAsia="Times New Roman" w:hAnsi="Cambria" w:cs="Arial"/>
          <w:sz w:val="20"/>
          <w:szCs w:val="20"/>
        </w:rPr>
        <w:t xml:space="preserve"> Describir las características y los mecanismos de reacciones postrasduccionales del grupo sanguíneo que permiten la variación en la concentración plasmática del </w:t>
      </w:r>
      <w:r>
        <w:rPr>
          <w:rFonts w:ascii="Cambria" w:eastAsia="Times New Roman" w:hAnsi="Cambria" w:cs="Arial"/>
          <w:sz w:val="20"/>
          <w:szCs w:val="20"/>
        </w:rPr>
        <w:t>FvW</w:t>
      </w:r>
      <w:r w:rsidRPr="001A0FF5">
        <w:rPr>
          <w:rFonts w:ascii="Cambria" w:eastAsia="Times New Roman" w:hAnsi="Cambria" w:cs="Arial"/>
          <w:sz w:val="20"/>
          <w:szCs w:val="20"/>
        </w:rPr>
        <w:t xml:space="preserve">. </w:t>
      </w:r>
      <w:r w:rsidRPr="00B75E1D">
        <w:rPr>
          <w:rFonts w:ascii="Cambria" w:eastAsia="Times New Roman" w:hAnsi="Cambria" w:cs="Arial"/>
          <w:b/>
          <w:sz w:val="20"/>
          <w:szCs w:val="20"/>
        </w:rPr>
        <w:t>Materiales y métodos:</w:t>
      </w:r>
      <w:r w:rsidRPr="001A0FF5">
        <w:rPr>
          <w:rFonts w:ascii="Cambria" w:eastAsia="Times New Roman" w:hAnsi="Cambria" w:cs="Arial"/>
          <w:sz w:val="20"/>
          <w:szCs w:val="20"/>
        </w:rPr>
        <w:t xml:space="preserve"> Revisión teórico descriptiva de tipo documental. Las bases de datos consultadas fueron </w:t>
      </w:r>
      <w:r w:rsidRPr="002D77B8">
        <w:rPr>
          <w:rFonts w:ascii="Cambria" w:eastAsia="Times New Roman" w:hAnsi="Cambria" w:cs="Arial"/>
          <w:i/>
          <w:sz w:val="20"/>
          <w:szCs w:val="20"/>
        </w:rPr>
        <w:t>Medline, Lilacs, ScienceDirect, Scopus, SciELO, Proquest, Ovid y Pubmed.</w:t>
      </w:r>
      <w:r w:rsidRPr="001A0FF5">
        <w:rPr>
          <w:rFonts w:ascii="Cambria" w:eastAsia="Times New Roman" w:hAnsi="Cambria" w:cs="Arial"/>
          <w:sz w:val="20"/>
          <w:szCs w:val="20"/>
        </w:rPr>
        <w:t xml:space="preserve"> Como criterio de selección se incluyeron artículos en idioma inglés y español a partir del año 2010 y alguno</w:t>
      </w:r>
      <w:r>
        <w:rPr>
          <w:rFonts w:ascii="Cambria" w:eastAsia="Times New Roman" w:hAnsi="Cambria" w:cs="Arial"/>
          <w:sz w:val="20"/>
          <w:szCs w:val="20"/>
        </w:rPr>
        <w:t>s anteriores como referente histórico</w:t>
      </w:r>
      <w:r w:rsidRPr="001A0FF5">
        <w:rPr>
          <w:rFonts w:ascii="Cambria" w:eastAsia="Times New Roman" w:hAnsi="Cambria" w:cs="Arial"/>
          <w:sz w:val="20"/>
          <w:szCs w:val="20"/>
        </w:rPr>
        <w:t xml:space="preserve">. </w:t>
      </w:r>
      <w:r w:rsidRPr="00B75E1D">
        <w:rPr>
          <w:rFonts w:ascii="Cambria" w:eastAsia="Times New Roman" w:hAnsi="Cambria" w:cs="Arial"/>
          <w:b/>
          <w:sz w:val="20"/>
          <w:szCs w:val="20"/>
        </w:rPr>
        <w:t>Resultados:</w:t>
      </w:r>
      <w:r w:rsidRPr="001A0FF5">
        <w:rPr>
          <w:rFonts w:ascii="Cambria" w:eastAsia="Times New Roman" w:hAnsi="Cambria" w:cs="Arial"/>
          <w:sz w:val="20"/>
          <w:szCs w:val="20"/>
        </w:rPr>
        <w:t xml:space="preserve"> Se describieron los principales mecanismos e investigaciones que evidencian la influencia del tipo de grupo sanguíneo ABO en los niveles plasmáticos del </w:t>
      </w:r>
      <w:r>
        <w:rPr>
          <w:rFonts w:ascii="Cambria" w:eastAsia="Times New Roman" w:hAnsi="Cambria" w:cs="Arial"/>
          <w:sz w:val="20"/>
          <w:szCs w:val="20"/>
        </w:rPr>
        <w:t>FvW,</w:t>
      </w:r>
      <w:r w:rsidRPr="001A0FF5">
        <w:rPr>
          <w:rFonts w:ascii="Cambria" w:eastAsia="Times New Roman" w:hAnsi="Cambria" w:cs="Arial"/>
          <w:sz w:val="20"/>
          <w:szCs w:val="20"/>
        </w:rPr>
        <w:t xml:space="preserve"> así como la estructura y función de dicha proteína. </w:t>
      </w:r>
      <w:r w:rsidRPr="00BE5245">
        <w:rPr>
          <w:rFonts w:ascii="Cambria" w:eastAsia="Times New Roman" w:hAnsi="Cambria" w:cs="Arial"/>
          <w:b/>
          <w:sz w:val="20"/>
          <w:szCs w:val="20"/>
        </w:rPr>
        <w:t>Conclusiones</w:t>
      </w:r>
      <w:r w:rsidRPr="001A0FF5">
        <w:rPr>
          <w:rFonts w:ascii="Cambria" w:eastAsia="Times New Roman" w:hAnsi="Cambria" w:cs="Arial"/>
          <w:sz w:val="20"/>
          <w:szCs w:val="20"/>
        </w:rPr>
        <w:t xml:space="preserve">: Las concentraciones plasmáticas del </w:t>
      </w:r>
      <w:r>
        <w:rPr>
          <w:rFonts w:ascii="Cambria" w:eastAsia="Times New Roman" w:hAnsi="Cambria" w:cs="Arial"/>
          <w:sz w:val="20"/>
          <w:szCs w:val="20"/>
        </w:rPr>
        <w:t>FvW</w:t>
      </w:r>
      <w:r w:rsidRPr="001A0FF5">
        <w:rPr>
          <w:rFonts w:ascii="Cambria" w:eastAsia="Times New Roman" w:hAnsi="Cambria" w:cs="Arial"/>
          <w:sz w:val="20"/>
          <w:szCs w:val="20"/>
        </w:rPr>
        <w:t xml:space="preserve"> pueden depender del tipo de grupo sanguíneo, la edad, sexo, embarazo, ciclo menstrual, variación de proteínas y factores bioquímicos e inmunológicos. Se podría tener en cuenta el tipo de grupo sanguíneo de los pacientes como un posible factor predictor a futuro de complicaciones clínicas tanto trombóticas como hemorrágicas.</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3F0184DE"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AB3F13" w:rsidRPr="0064282D">
        <w:rPr>
          <w:rFonts w:ascii="Cambria" w:hAnsi="Cambria" w:cs="Arial"/>
          <w:sz w:val="20"/>
          <w:szCs w:val="20"/>
        </w:rPr>
        <w:t>Factor de von Willebrand</w:t>
      </w:r>
      <w:r w:rsidR="00AB3F13">
        <w:rPr>
          <w:rFonts w:ascii="Cambria" w:hAnsi="Cambria" w:cs="Arial"/>
          <w:sz w:val="20"/>
          <w:szCs w:val="20"/>
        </w:rPr>
        <w:t>;</w:t>
      </w:r>
      <w:r w:rsidR="00AB3F13" w:rsidRPr="00B75E1D">
        <w:rPr>
          <w:rFonts w:ascii="Cambria" w:hAnsi="Cambria" w:cs="Arial"/>
          <w:sz w:val="20"/>
          <w:szCs w:val="20"/>
        </w:rPr>
        <w:t xml:space="preserve"> antígenos de grupos sanguíneos</w:t>
      </w:r>
      <w:r w:rsidR="00AB3F13">
        <w:rPr>
          <w:rFonts w:ascii="Cambria" w:hAnsi="Cambria" w:cs="Arial"/>
          <w:sz w:val="20"/>
          <w:szCs w:val="20"/>
        </w:rPr>
        <w:t>;</w:t>
      </w:r>
      <w:r w:rsidR="00AB3F13" w:rsidRPr="00B75E1D">
        <w:rPr>
          <w:rFonts w:ascii="Cambria" w:hAnsi="Cambria" w:cs="Arial"/>
          <w:sz w:val="20"/>
          <w:szCs w:val="20"/>
        </w:rPr>
        <w:t xml:space="preserve"> proteína ADAMTS13</w:t>
      </w:r>
      <w:r w:rsidR="00AB3F13">
        <w:rPr>
          <w:rFonts w:ascii="Cambria" w:hAnsi="Cambria" w:cs="Arial"/>
          <w:sz w:val="20"/>
          <w:szCs w:val="20"/>
        </w:rPr>
        <w:t>;</w:t>
      </w:r>
      <w:r w:rsidR="00AB3F13" w:rsidRPr="00B75E1D">
        <w:rPr>
          <w:rFonts w:ascii="Cambria" w:hAnsi="Cambria" w:cs="Arial"/>
          <w:sz w:val="20"/>
          <w:szCs w:val="20"/>
        </w:rPr>
        <w:t xml:space="preserve"> </w:t>
      </w:r>
      <w:r w:rsidR="00AB3F13">
        <w:rPr>
          <w:rFonts w:ascii="Cambria" w:hAnsi="Cambria" w:cs="Arial"/>
          <w:sz w:val="20"/>
          <w:szCs w:val="20"/>
        </w:rPr>
        <w:t>t</w:t>
      </w:r>
      <w:r w:rsidR="00AB3F13" w:rsidRPr="00B75E1D">
        <w:rPr>
          <w:rFonts w:ascii="Cambria" w:hAnsi="Cambria" w:cs="Arial"/>
          <w:sz w:val="20"/>
          <w:szCs w:val="20"/>
        </w:rPr>
        <w:t>rombofilia</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37F3494A" w14:textId="3E8A8C47" w:rsidR="004A647B" w:rsidRDefault="00AB3F13" w:rsidP="00415064">
      <w:pPr>
        <w:spacing w:after="0" w:line="240" w:lineRule="auto"/>
        <w:jc w:val="both"/>
        <w:rPr>
          <w:rFonts w:asciiTheme="majorHAnsi" w:hAnsiTheme="majorHAnsi" w:cs="Times New Roman"/>
          <w:b/>
          <w:sz w:val="20"/>
          <w:szCs w:val="18"/>
          <w:lang w:val="en-US"/>
        </w:rPr>
      </w:pPr>
      <w:r w:rsidRPr="00C7309B">
        <w:rPr>
          <w:rFonts w:asciiTheme="majorHAnsi" w:hAnsiTheme="majorHAnsi"/>
          <w:b/>
          <w:noProof/>
          <w:sz w:val="20"/>
          <w:lang w:val="en-US" w:eastAsia="es-CO"/>
        </w:rPr>
        <w:t>Introduction:</w:t>
      </w:r>
      <w:r w:rsidRPr="00C7309B">
        <w:rPr>
          <w:rFonts w:asciiTheme="majorHAnsi" w:hAnsiTheme="majorHAnsi"/>
          <w:noProof/>
          <w:sz w:val="20"/>
          <w:lang w:val="en-US" w:eastAsia="es-CO"/>
        </w:rPr>
        <w:t xml:space="preserve"> </w:t>
      </w:r>
      <w:r w:rsidR="00415064" w:rsidRPr="00415064">
        <w:rPr>
          <w:rFonts w:asciiTheme="majorHAnsi" w:hAnsiTheme="majorHAnsi"/>
          <w:noProof/>
          <w:sz w:val="20"/>
          <w:lang w:val="en-US" w:eastAsia="es-CO"/>
        </w:rPr>
        <w:t xml:space="preserve">The type of blood group among other factors influences the plasma levels of von Willebrand Factor (FvW) and its biological activity could influence the development of thrombotic and hemorrhagic events. </w:t>
      </w:r>
      <w:r w:rsidR="00415064" w:rsidRPr="00415064">
        <w:rPr>
          <w:rFonts w:asciiTheme="majorHAnsi" w:hAnsiTheme="majorHAnsi"/>
          <w:b/>
          <w:noProof/>
          <w:sz w:val="20"/>
          <w:lang w:val="en-US" w:eastAsia="es-CO"/>
        </w:rPr>
        <w:t>Objective:</w:t>
      </w:r>
      <w:r w:rsidR="00415064" w:rsidRPr="00415064">
        <w:rPr>
          <w:rFonts w:asciiTheme="majorHAnsi" w:hAnsiTheme="majorHAnsi"/>
          <w:noProof/>
          <w:sz w:val="20"/>
          <w:lang w:val="en-US" w:eastAsia="es-CO"/>
        </w:rPr>
        <w:t xml:space="preserve"> To describe the characteristics and mechanisms of post-translational reactions of the blood group that generate variation in the plasma concentration of FvW. </w:t>
      </w:r>
      <w:r w:rsidR="00415064" w:rsidRPr="00415064">
        <w:rPr>
          <w:rFonts w:asciiTheme="majorHAnsi" w:hAnsiTheme="majorHAnsi"/>
          <w:b/>
          <w:noProof/>
          <w:sz w:val="20"/>
          <w:lang w:val="en-US" w:eastAsia="es-CO"/>
        </w:rPr>
        <w:t>Materials and methods:</w:t>
      </w:r>
      <w:r w:rsidR="00415064" w:rsidRPr="00415064">
        <w:rPr>
          <w:rFonts w:asciiTheme="majorHAnsi" w:hAnsiTheme="majorHAnsi"/>
          <w:noProof/>
          <w:sz w:val="20"/>
          <w:lang w:val="en-US" w:eastAsia="es-CO"/>
        </w:rPr>
        <w:t xml:space="preserve"> A descriptive theoretical review of documentary type. The databases consulted were </w:t>
      </w:r>
      <w:r w:rsidR="00415064" w:rsidRPr="00415064">
        <w:rPr>
          <w:rFonts w:asciiTheme="majorHAnsi" w:hAnsiTheme="majorHAnsi"/>
          <w:i/>
          <w:noProof/>
          <w:sz w:val="20"/>
          <w:lang w:val="en-US" w:eastAsia="es-CO"/>
        </w:rPr>
        <w:t>Medline, Lilacs, ScienceDirect, Scopus, SciELO, Proquest, Ovid and Pubmed.</w:t>
      </w:r>
      <w:r w:rsidR="00415064" w:rsidRPr="00415064">
        <w:rPr>
          <w:rFonts w:asciiTheme="majorHAnsi" w:hAnsiTheme="majorHAnsi"/>
          <w:noProof/>
          <w:sz w:val="20"/>
          <w:lang w:val="en-US" w:eastAsia="es-CO"/>
        </w:rPr>
        <w:t xml:space="preserve"> As a selection criterion, articles in English and Spanish were included beginning in 2010 and some previous ones as historical reference. </w:t>
      </w:r>
      <w:r w:rsidR="00415064" w:rsidRPr="00415064">
        <w:rPr>
          <w:rFonts w:asciiTheme="majorHAnsi" w:hAnsiTheme="majorHAnsi"/>
          <w:b/>
          <w:noProof/>
          <w:sz w:val="20"/>
          <w:lang w:val="en-US" w:eastAsia="es-CO"/>
        </w:rPr>
        <w:t>Results:</w:t>
      </w:r>
      <w:r w:rsidR="00415064" w:rsidRPr="00415064">
        <w:rPr>
          <w:rFonts w:asciiTheme="majorHAnsi" w:hAnsiTheme="majorHAnsi"/>
          <w:noProof/>
          <w:sz w:val="20"/>
          <w:lang w:val="en-US" w:eastAsia="es-CO"/>
        </w:rPr>
        <w:t xml:space="preserve"> The main mechanisms and investigations that show the influence of the ABO blood group type on the plasma levels of FvW, as well as the structure and function of this protein were described. </w:t>
      </w:r>
      <w:r w:rsidR="00415064" w:rsidRPr="00415064">
        <w:rPr>
          <w:rFonts w:asciiTheme="majorHAnsi" w:hAnsiTheme="majorHAnsi"/>
          <w:b/>
          <w:noProof/>
          <w:sz w:val="20"/>
          <w:lang w:val="en-US" w:eastAsia="es-CO"/>
        </w:rPr>
        <w:t>Conclusions:</w:t>
      </w:r>
      <w:r w:rsidR="00415064" w:rsidRPr="00415064">
        <w:rPr>
          <w:rFonts w:asciiTheme="majorHAnsi" w:hAnsiTheme="majorHAnsi"/>
          <w:noProof/>
          <w:sz w:val="20"/>
          <w:lang w:val="en-US" w:eastAsia="es-CO"/>
        </w:rPr>
        <w:t xml:space="preserve"> FvW plasma concentrations may depend on the type of blood group, age, sex, pregnancy, menstrual cycle, protein variation and biochemical and immunological factors. The type of blood group of patients could be considered as a possible future predictor of both thrombotic and hemorrhagic clinical complications.</w:t>
      </w:r>
    </w:p>
    <w:p w14:paraId="297712C0" w14:textId="77777777" w:rsidR="00415064" w:rsidRDefault="00415064"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0CEBA74C"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FE39AE">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AB3F13" w:rsidRPr="00D604E9">
        <w:rPr>
          <w:rFonts w:ascii="Cambria" w:hAnsi="Cambria" w:cs="Arial"/>
          <w:sz w:val="20"/>
          <w:szCs w:val="20"/>
          <w:lang w:val="en-US"/>
        </w:rPr>
        <w:t xml:space="preserve">von Willebrand </w:t>
      </w:r>
      <w:r w:rsidR="00AB3F13">
        <w:rPr>
          <w:rFonts w:ascii="Cambria" w:hAnsi="Cambria" w:cs="Arial"/>
          <w:sz w:val="20"/>
          <w:szCs w:val="20"/>
          <w:lang w:val="en-US"/>
        </w:rPr>
        <w:t>f</w:t>
      </w:r>
      <w:r w:rsidR="00AB3F13" w:rsidRPr="00D604E9">
        <w:rPr>
          <w:rFonts w:ascii="Cambria" w:hAnsi="Cambria" w:cs="Arial"/>
          <w:sz w:val="20"/>
          <w:szCs w:val="20"/>
          <w:lang w:val="en-US"/>
        </w:rPr>
        <w:t xml:space="preserve">actor; blood </w:t>
      </w:r>
      <w:r w:rsidR="00AB3F13" w:rsidRPr="00B75E1D">
        <w:rPr>
          <w:rFonts w:ascii="Cambria" w:hAnsi="Cambria" w:cs="Arial"/>
          <w:sz w:val="20"/>
          <w:szCs w:val="20"/>
          <w:lang w:val="en-US"/>
        </w:rPr>
        <w:t>group antigens</w:t>
      </w:r>
      <w:r w:rsidR="00AB3F13">
        <w:rPr>
          <w:rFonts w:ascii="Cambria" w:hAnsi="Cambria" w:cs="Arial"/>
          <w:sz w:val="20"/>
          <w:szCs w:val="20"/>
          <w:lang w:val="en-US"/>
        </w:rPr>
        <w:t>;</w:t>
      </w:r>
      <w:r w:rsidR="00AB3F13" w:rsidRPr="00B75E1D">
        <w:rPr>
          <w:rFonts w:ascii="Cambria" w:hAnsi="Cambria" w:cs="Arial"/>
          <w:sz w:val="20"/>
          <w:szCs w:val="20"/>
          <w:lang w:val="en-US"/>
        </w:rPr>
        <w:t xml:space="preserve"> ADAMTS13 protein</w:t>
      </w:r>
      <w:r w:rsidR="00AB3F13">
        <w:rPr>
          <w:rFonts w:ascii="Cambria" w:hAnsi="Cambria" w:cs="Arial"/>
          <w:sz w:val="20"/>
          <w:szCs w:val="20"/>
          <w:lang w:val="en-US"/>
        </w:rPr>
        <w:t>; t</w:t>
      </w:r>
      <w:r w:rsidR="00AB3F13" w:rsidRPr="00B75E1D">
        <w:rPr>
          <w:rFonts w:ascii="Cambria" w:hAnsi="Cambria" w:cs="Arial"/>
          <w:sz w:val="20"/>
          <w:szCs w:val="20"/>
          <w:lang w:val="en-US"/>
        </w:rPr>
        <w:t>hrombophilia</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A930FC">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77"/>
          <w:cols w:space="708"/>
          <w:titlePg/>
          <w:docGrid w:linePitch="360"/>
        </w:sect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Referencias</w:t>
      </w:r>
    </w:p>
    <w:p w14:paraId="33342A83" w14:textId="77777777" w:rsidR="001D5EAC" w:rsidRPr="00D202BE" w:rsidRDefault="001D5EAC" w:rsidP="001D5EAC">
      <w:pPr>
        <w:spacing w:after="0" w:line="240" w:lineRule="auto"/>
        <w:jc w:val="both"/>
        <w:rPr>
          <w:rFonts w:asciiTheme="majorHAnsi" w:eastAsia="Times New Roman" w:hAnsiTheme="majorHAnsi" w:cs="Times New Roman"/>
          <w:sz w:val="18"/>
          <w:szCs w:val="18"/>
        </w:rPr>
      </w:pPr>
    </w:p>
    <w:p w14:paraId="2647B96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1.</w:t>
      </w:r>
      <w:r w:rsidRPr="00A930FC">
        <w:rPr>
          <w:rFonts w:asciiTheme="majorHAnsi" w:eastAsia="Times New Roman" w:hAnsiTheme="majorHAnsi" w:cs="Times New Roman"/>
          <w:sz w:val="17"/>
          <w:szCs w:val="17"/>
        </w:rPr>
        <w:tab/>
        <w:t>Cossio-Andia E, Solis S, Jhunior A, Castellon-Bautista N, Davalos-Pacheco M, Jarro-Mena RL. Tipificación del grupo sanguíneo ABO y el factor Rh en la población de Totora-Cochabamba gestión 2012. Rev Cient Cienc Med. 2013;16(1):25-27.</w:t>
      </w:r>
    </w:p>
    <w:p w14:paraId="28A0DF11"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2.</w:t>
      </w:r>
      <w:r w:rsidRPr="00A930FC">
        <w:rPr>
          <w:rFonts w:asciiTheme="majorHAnsi" w:eastAsia="Times New Roman" w:hAnsiTheme="majorHAnsi" w:cs="Times New Roman"/>
          <w:sz w:val="17"/>
          <w:szCs w:val="17"/>
        </w:rPr>
        <w:tab/>
        <w:t>Guyton AC, Hall JE. Tratado de Fisiología Médica. 12ª ed. Madrid: Elsevier; 2011.</w:t>
      </w:r>
    </w:p>
    <w:p w14:paraId="3E9A548F"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3.</w:t>
      </w:r>
      <w:r w:rsidRPr="00A930FC">
        <w:rPr>
          <w:rFonts w:asciiTheme="majorHAnsi" w:eastAsia="Times New Roman" w:hAnsiTheme="majorHAnsi" w:cs="Times New Roman"/>
          <w:sz w:val="17"/>
          <w:szCs w:val="17"/>
        </w:rPr>
        <w:tab/>
        <w:t>Cruz-Bermúdez HF, Moreno-Collazo JE, Forero SE. Caracterización de donantes voluntarios de sangre por grupo sanguíneo ABO y Rh que asistieron a un banco de sangre de la ciudad de Tunja-Colombia. Arch Med [Internet]. 2012 [citado 2017 Sep 06]; 2(2):185-189. Disponible en: http://revistasum.umanizales.edu.co/ojs/index.php/archivosmedicina/article/view/7</w:t>
      </w:r>
    </w:p>
    <w:p w14:paraId="41AAD36E"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w:t>
      </w:r>
      <w:r w:rsidRPr="00A930FC">
        <w:rPr>
          <w:rFonts w:asciiTheme="majorHAnsi" w:eastAsia="Times New Roman" w:hAnsiTheme="majorHAnsi" w:cs="Times New Roman"/>
          <w:sz w:val="17"/>
          <w:szCs w:val="17"/>
          <w:lang w:val="en-US"/>
        </w:rPr>
        <w:tab/>
        <w:t xml:space="preserve">Lenting P, Casari C, Christophe O, Denis C. von Willebrand factor: the old, the new and the unknown. </w:t>
      </w:r>
      <w:r w:rsidRPr="00A930FC">
        <w:rPr>
          <w:rFonts w:asciiTheme="majorHAnsi" w:eastAsia="Times New Roman" w:hAnsiTheme="majorHAnsi" w:cs="Times New Roman"/>
          <w:sz w:val="17"/>
          <w:szCs w:val="17"/>
        </w:rPr>
        <w:t>J Thromb Haemost [Internet]. 2012 [citado 2017 Sep 06];10(12):2428-37. Disponible en: https://onlinelibrary.wiley.com/doi/abs/10.1111/jth.12008</w:t>
      </w:r>
    </w:p>
    <w:p w14:paraId="517E08DD"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5.</w:t>
      </w:r>
      <w:r w:rsidRPr="00A930FC">
        <w:rPr>
          <w:rFonts w:asciiTheme="majorHAnsi" w:eastAsia="Times New Roman" w:hAnsiTheme="majorHAnsi" w:cs="Times New Roman"/>
          <w:sz w:val="17"/>
          <w:szCs w:val="17"/>
          <w:lang w:val="en-US"/>
        </w:rPr>
        <w:tab/>
        <w:t>Kahr MK, Franke D, Brun R, Wisser J, Zimmermann R, Haslinger C. Blood group O: A novel risk factor for increased postpartum blood loss?. Haemophilia [Internet]. 2018 May [citado 2017 Oct 10];1-6. Disponible en: https://onlinelibrary.wiley.com/doi/abs/10.1111/hae.13537</w:t>
      </w:r>
    </w:p>
    <w:p w14:paraId="6B26E152"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6.</w:t>
      </w:r>
      <w:r w:rsidRPr="00A930FC">
        <w:rPr>
          <w:rFonts w:asciiTheme="majorHAnsi" w:eastAsia="Times New Roman" w:hAnsiTheme="majorHAnsi" w:cs="Times New Roman"/>
          <w:sz w:val="17"/>
          <w:szCs w:val="17"/>
          <w:lang w:val="en-US"/>
        </w:rPr>
        <w:tab/>
        <w:t xml:space="preserve">Hussein E, Teruya J. Evaluating the impact of the ABO blood group on the clinical outcome of thrombotic thrombocytopenic purpura associated with severe ADAMTS13 deficiency. </w:t>
      </w:r>
      <w:r w:rsidRPr="00A930FC">
        <w:rPr>
          <w:rFonts w:asciiTheme="majorHAnsi" w:eastAsia="Times New Roman" w:hAnsiTheme="majorHAnsi" w:cs="Times New Roman"/>
          <w:sz w:val="17"/>
          <w:szCs w:val="17"/>
        </w:rPr>
        <w:t>Vox Sang [Internet]. 2017 Jul [citado 2017 Oct 11];112(5):434-442. Disponible en: https://onlinelibrary.wiley.com/doi/abs/10.1111/vox.12511</w:t>
      </w:r>
    </w:p>
    <w:p w14:paraId="4D9EFB3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7.</w:t>
      </w:r>
      <w:r w:rsidRPr="00A930FC">
        <w:rPr>
          <w:rFonts w:asciiTheme="majorHAnsi" w:eastAsia="Times New Roman" w:hAnsiTheme="majorHAnsi" w:cs="Times New Roman"/>
          <w:sz w:val="17"/>
          <w:szCs w:val="17"/>
        </w:rPr>
        <w:tab/>
        <w:t xml:space="preserve">Bejerano-Pérez N, García-Bejerano D, Pimentel-Figueroa CA. Discrepancias en el agrupamiento del sistema de grupos sanguíneos ABO. Rev Ciencias Médicas [Internet]. 2016 Feb [citado 2018 Abr 08];20(1). Disponible en: http://scielo.sld.cu/scielo.php?script=sci_arttext&amp;pid=S1561-31942016000100026&amp;lng=es.6) </w:t>
      </w:r>
    </w:p>
    <w:p w14:paraId="6718C466"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8.</w:t>
      </w:r>
      <w:r w:rsidRPr="00A930FC">
        <w:rPr>
          <w:rFonts w:asciiTheme="majorHAnsi" w:eastAsia="Times New Roman" w:hAnsiTheme="majorHAnsi" w:cs="Times New Roman"/>
          <w:sz w:val="17"/>
          <w:szCs w:val="17"/>
        </w:rPr>
        <w:tab/>
        <w:t>Chang-Monteagudo A, Bencomo-Hernández AA, Morera-Barrios LM, Ustáriz-García C, de la Guardia-Peña O. Evolución de la nomenclatura de los factores del sistema de antígenos leucocitarios humanos. Rev Cubana Hematol Inmunol Hemoter [Internet]. 2014 Ene - Mar [citado 2017 Oct 16];30(1):11-20. Disponible en: http://scielo.sld.cu/scielo.php?script=sci_arttext&amp;pid=S0864-02892014000100003</w:t>
      </w:r>
    </w:p>
    <w:p w14:paraId="3C335F36"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9.</w:t>
      </w:r>
      <w:r w:rsidRPr="00A930FC">
        <w:rPr>
          <w:rFonts w:asciiTheme="majorHAnsi" w:eastAsia="Times New Roman" w:hAnsiTheme="majorHAnsi" w:cs="Times New Roman"/>
          <w:sz w:val="17"/>
          <w:szCs w:val="17"/>
        </w:rPr>
        <w:tab/>
        <w:t xml:space="preserve">Bueno ML. Cromosomas, vehículos en la organización y transmisión de los caracteres. Acta Biol Colomb [Internet]. 2011 [citado 2017 Oct 16];16(3):43-60. Disponible en: http://www.redalyc.org/articulo.oa?id=319027888003 </w:t>
      </w:r>
    </w:p>
    <w:p w14:paraId="19D87283"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10.</w:t>
      </w:r>
      <w:r w:rsidRPr="00A930FC">
        <w:rPr>
          <w:rFonts w:asciiTheme="majorHAnsi" w:eastAsia="Times New Roman" w:hAnsiTheme="majorHAnsi" w:cs="Times New Roman"/>
          <w:sz w:val="17"/>
          <w:szCs w:val="17"/>
        </w:rPr>
        <w:tab/>
        <w:t>Matta-Camacho NE. Sistema inmune y genética: un abordaje diferente a la diversidad de anticuerpos. Acta Biol Colomb [Internet]. 2011 Sep [citado 2018 Abr 08];16(3):177-188. Disponible en: https://revistas.unal.edu.co/index.php/actabiol/article/view/19284/27967</w:t>
      </w:r>
    </w:p>
    <w:p w14:paraId="1FADC18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11.</w:t>
      </w:r>
      <w:r w:rsidRPr="00A930FC">
        <w:rPr>
          <w:rFonts w:asciiTheme="majorHAnsi" w:eastAsia="Times New Roman" w:hAnsiTheme="majorHAnsi" w:cs="Times New Roman"/>
          <w:sz w:val="17"/>
          <w:szCs w:val="17"/>
          <w:lang w:val="en-US"/>
        </w:rPr>
        <w:tab/>
        <w:t xml:space="preserve">Smith NL, Chen MH, Dehghan A, Strachan DP, Basu S, Soranzo N, et al. Control Consortium, Novel associations of multiple genetic loci with plasma levels of factor VII, factor VIII, and von Willebrand factor: the CHARGE (Cohorts for Heart and Aging Research in Genome Epidemiology) consortium. </w:t>
      </w:r>
      <w:r w:rsidRPr="00A930FC">
        <w:rPr>
          <w:rFonts w:asciiTheme="majorHAnsi" w:eastAsia="Times New Roman" w:hAnsiTheme="majorHAnsi" w:cs="Times New Roman"/>
          <w:sz w:val="17"/>
          <w:szCs w:val="17"/>
          <w:lang w:val="es-CO"/>
        </w:rPr>
        <w:t xml:space="preserve">Circulation [Internet]. 2010 [citado 2017 Nov 03];121(12):1382-1392. </w:t>
      </w:r>
      <w:r w:rsidRPr="00A930FC">
        <w:rPr>
          <w:rFonts w:asciiTheme="majorHAnsi" w:eastAsia="Times New Roman" w:hAnsiTheme="majorHAnsi" w:cs="Times New Roman"/>
          <w:sz w:val="17"/>
          <w:szCs w:val="17"/>
        </w:rPr>
        <w:t>Disponible en: https://www.ncbi.nlm.nih.gov/pmc/articles/PMC2861278/</w:t>
      </w:r>
    </w:p>
    <w:p w14:paraId="67E69C94"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12.</w:t>
      </w:r>
      <w:r w:rsidRPr="00A930FC">
        <w:rPr>
          <w:rFonts w:asciiTheme="majorHAnsi" w:eastAsia="Times New Roman" w:hAnsiTheme="majorHAnsi" w:cs="Times New Roman"/>
          <w:sz w:val="17"/>
          <w:szCs w:val="17"/>
          <w:lang w:val="en-US"/>
        </w:rPr>
        <w:tab/>
        <w:t xml:space="preserve">Terraube V, O’donnell J, Jenkins PV. Factor VIII and von Willebrand factor interaction: biological, clinical and therapeutic importance. </w:t>
      </w:r>
      <w:r w:rsidRPr="00A930FC">
        <w:rPr>
          <w:rFonts w:asciiTheme="majorHAnsi" w:eastAsia="Times New Roman" w:hAnsiTheme="majorHAnsi" w:cs="Times New Roman"/>
          <w:sz w:val="17"/>
          <w:szCs w:val="17"/>
        </w:rPr>
        <w:t>Haemophilia [Internet]. 2010 [citado 2017 Nov 03];16(1):3-13. Disponible en: https://onlinelibrary.wiley.com/doi/abs/10.1111/j.1365-2516.2009.02005.x</w:t>
      </w:r>
    </w:p>
    <w:p w14:paraId="1511C49E"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13.</w:t>
      </w:r>
      <w:r w:rsidRPr="00A930FC">
        <w:rPr>
          <w:rFonts w:asciiTheme="majorHAnsi" w:eastAsia="Times New Roman" w:hAnsiTheme="majorHAnsi" w:cs="Times New Roman"/>
          <w:sz w:val="17"/>
          <w:szCs w:val="17"/>
          <w:lang w:val="en-US"/>
        </w:rPr>
        <w:tab/>
        <w:t xml:space="preserve">Lillicrap D. von Willebrand disease: advances in pathogenetic understanding, diagnosis, and therapy. </w:t>
      </w:r>
      <w:r w:rsidRPr="00A930FC">
        <w:rPr>
          <w:rFonts w:asciiTheme="majorHAnsi" w:eastAsia="Times New Roman" w:hAnsiTheme="majorHAnsi" w:cs="Times New Roman"/>
          <w:sz w:val="17"/>
          <w:szCs w:val="17"/>
        </w:rPr>
        <w:t xml:space="preserve">Blood [Internet]. 2013 </w:t>
      </w:r>
      <w:r w:rsidRPr="00A930FC">
        <w:rPr>
          <w:rFonts w:asciiTheme="majorHAnsi" w:eastAsia="Times New Roman" w:hAnsiTheme="majorHAnsi" w:cs="Times New Roman"/>
          <w:sz w:val="17"/>
          <w:szCs w:val="17"/>
        </w:rPr>
        <w:lastRenderedPageBreak/>
        <w:t>[citado 2017 Nov 04];122(23):3735-40. Disponible en: http://www.bloodjournal.org/content/early/2013/09/24/blood-2013-06-498303.short?sso-checked=true</w:t>
      </w:r>
    </w:p>
    <w:p w14:paraId="65B0959F"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14.</w:t>
      </w:r>
      <w:r w:rsidRPr="00A930FC">
        <w:rPr>
          <w:rFonts w:asciiTheme="majorHAnsi" w:eastAsia="Times New Roman" w:hAnsiTheme="majorHAnsi" w:cs="Times New Roman"/>
          <w:sz w:val="17"/>
          <w:szCs w:val="17"/>
          <w:lang w:val="en-US"/>
        </w:rPr>
        <w:tab/>
        <w:t xml:space="preserve">Lenting PJ, Christophe OD, Denis CV. Von Willebrand factor biosynthesis, secretion, and clearance: connecting the far ends. </w:t>
      </w:r>
      <w:r w:rsidRPr="00A930FC">
        <w:rPr>
          <w:rFonts w:asciiTheme="majorHAnsi" w:eastAsia="Times New Roman" w:hAnsiTheme="majorHAnsi" w:cs="Times New Roman"/>
          <w:sz w:val="17"/>
          <w:szCs w:val="17"/>
          <w:lang w:val="es-CO"/>
        </w:rPr>
        <w:t xml:space="preserve">Blood [Internet]. 2015 [citado 2017 Nov 09];125(13): 2019-2028. </w:t>
      </w:r>
      <w:r w:rsidRPr="00A930FC">
        <w:rPr>
          <w:rFonts w:asciiTheme="majorHAnsi" w:eastAsia="Times New Roman" w:hAnsiTheme="majorHAnsi" w:cs="Times New Roman"/>
          <w:sz w:val="17"/>
          <w:szCs w:val="17"/>
        </w:rPr>
        <w:t>Disponible en: http://www.bloodjournal.org/content/early/2015/02/23/blood-2014-06-528406</w:t>
      </w:r>
    </w:p>
    <w:p w14:paraId="4268E5C1"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15.</w:t>
      </w:r>
      <w:r w:rsidRPr="00A930FC">
        <w:rPr>
          <w:rFonts w:asciiTheme="majorHAnsi" w:eastAsia="Times New Roman" w:hAnsiTheme="majorHAnsi" w:cs="Times New Roman"/>
          <w:sz w:val="17"/>
          <w:szCs w:val="17"/>
        </w:rPr>
        <w:tab/>
        <w:t xml:space="preserve">Batlle J, Pérez-Rodríguez A, Corrales I, López-Fernández M, Rodríguez-Trillo Á, Lourés E, et al. </w:t>
      </w:r>
      <w:r w:rsidRPr="00A930FC">
        <w:rPr>
          <w:rFonts w:asciiTheme="majorHAnsi" w:eastAsia="Times New Roman" w:hAnsiTheme="majorHAnsi" w:cs="Times New Roman"/>
          <w:sz w:val="17"/>
          <w:szCs w:val="17"/>
          <w:lang w:val="en-US"/>
        </w:rPr>
        <w:t xml:space="preserve">Molecular and clinical profile of von Willebrand disease in Spain (PCM-EVW-ES): Proposal for a new diagnostic paradigm. </w:t>
      </w:r>
      <w:r w:rsidRPr="00A930FC">
        <w:rPr>
          <w:rFonts w:asciiTheme="majorHAnsi" w:eastAsia="Times New Roman" w:hAnsiTheme="majorHAnsi" w:cs="Times New Roman"/>
          <w:sz w:val="17"/>
          <w:szCs w:val="17"/>
        </w:rPr>
        <w:t>Thromb Haemost [Internet]. 2016 [citado 2017 Nov 14];115(1):40-50. Disponible en: https://www.thieme-connect.com/products/ejournals/abstract/10.1160/TH15-04-0282</w:t>
      </w:r>
    </w:p>
    <w:p w14:paraId="4D42F3A8"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16.</w:t>
      </w:r>
      <w:r w:rsidRPr="00A930FC">
        <w:rPr>
          <w:rFonts w:asciiTheme="majorHAnsi" w:eastAsia="Times New Roman" w:hAnsiTheme="majorHAnsi" w:cs="Times New Roman"/>
          <w:sz w:val="17"/>
          <w:szCs w:val="17"/>
          <w:lang w:val="en-US"/>
        </w:rPr>
        <w:tab/>
        <w:t xml:space="preserve">Haberichter DL. von Willebrand factor propeptide: biology and clinical utility. </w:t>
      </w:r>
      <w:r w:rsidRPr="00A930FC">
        <w:rPr>
          <w:rFonts w:asciiTheme="majorHAnsi" w:eastAsia="Times New Roman" w:hAnsiTheme="majorHAnsi" w:cs="Times New Roman"/>
          <w:sz w:val="17"/>
          <w:szCs w:val="17"/>
        </w:rPr>
        <w:t>Blood [Internet]. 2015 [citado 2017 Nov 16];126:1753-1761. Disponible en: http://www.bloodjournal.org/content/early/2015/07/27/blood-2015-04-512731.1</w:t>
      </w:r>
    </w:p>
    <w:p w14:paraId="1C8A4601"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17.</w:t>
      </w:r>
      <w:r w:rsidRPr="00A930FC">
        <w:rPr>
          <w:rFonts w:asciiTheme="majorHAnsi" w:eastAsia="Times New Roman" w:hAnsiTheme="majorHAnsi" w:cs="Times New Roman"/>
          <w:sz w:val="17"/>
          <w:szCs w:val="17"/>
          <w:lang w:val="en-US"/>
        </w:rPr>
        <w:tab/>
        <w:t xml:space="preserve">Eikenboom J, Federici AB, Dirven RJ, Castaman G, Rodeghiero F, Budde U, et al. VWF propeptide and ratios between VWF, VWF propeptide, and FVIII in the characterization of type 1 von Willebrand disease. </w:t>
      </w:r>
      <w:r w:rsidRPr="00A930FC">
        <w:rPr>
          <w:rFonts w:asciiTheme="majorHAnsi" w:eastAsia="Times New Roman" w:hAnsiTheme="majorHAnsi" w:cs="Times New Roman"/>
          <w:sz w:val="17"/>
          <w:szCs w:val="17"/>
          <w:lang w:val="es-CO"/>
        </w:rPr>
        <w:t xml:space="preserve">Blood [Internet]. 2013 [citado 2017 Nov 18];121(12):2336-9. </w:t>
      </w:r>
      <w:r w:rsidRPr="00A930FC">
        <w:rPr>
          <w:rFonts w:asciiTheme="majorHAnsi" w:eastAsia="Times New Roman" w:hAnsiTheme="majorHAnsi" w:cs="Times New Roman"/>
          <w:sz w:val="17"/>
          <w:szCs w:val="17"/>
        </w:rPr>
        <w:t>Disponible en: http://www.bloodjournal.org/content/early/2013/01/24/blood-2012-09-455089.short?sso-checked=true</w:t>
      </w:r>
    </w:p>
    <w:p w14:paraId="7FAC6342"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18.</w:t>
      </w:r>
      <w:r w:rsidRPr="00A930FC">
        <w:rPr>
          <w:rFonts w:asciiTheme="majorHAnsi" w:eastAsia="Times New Roman" w:hAnsiTheme="majorHAnsi" w:cs="Times New Roman"/>
          <w:sz w:val="17"/>
          <w:szCs w:val="17"/>
          <w:lang w:val="en-US"/>
        </w:rPr>
        <w:tab/>
        <w:t xml:space="preserve">De Jong A, Eikenboom J. Developments in the diagnostic procedures for von Willebrand disease. </w:t>
      </w:r>
      <w:r w:rsidRPr="00A930FC">
        <w:rPr>
          <w:rFonts w:asciiTheme="majorHAnsi" w:eastAsia="Times New Roman" w:hAnsiTheme="majorHAnsi" w:cs="Times New Roman"/>
          <w:sz w:val="17"/>
          <w:szCs w:val="17"/>
        </w:rPr>
        <w:t xml:space="preserve">J Thromb Haemost [Internet]. 2016 [citado 2018 Abril 7];14:449-460. Disponible en: https://www.ncbi.nlm.nih.gov/pubmed/2671418116) </w:t>
      </w:r>
    </w:p>
    <w:p w14:paraId="3A3713AA" w14:textId="466EF112"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19.</w:t>
      </w:r>
      <w:r w:rsidRPr="00A930FC">
        <w:rPr>
          <w:rFonts w:asciiTheme="majorHAnsi" w:eastAsia="Times New Roman" w:hAnsiTheme="majorHAnsi" w:cs="Times New Roman"/>
          <w:sz w:val="17"/>
          <w:szCs w:val="17"/>
        </w:rPr>
        <w:tab/>
        <w:t xml:space="preserve">Veyradier A, Boisseau P, Fressinaud E, Caron C, Ternisien C, Giraud M, et al. </w:t>
      </w:r>
      <w:r w:rsidRPr="00A930FC">
        <w:rPr>
          <w:rFonts w:asciiTheme="majorHAnsi" w:eastAsia="Times New Roman" w:hAnsiTheme="majorHAnsi" w:cs="Times New Roman"/>
          <w:sz w:val="17"/>
          <w:szCs w:val="17"/>
          <w:lang w:val="en-US"/>
        </w:rPr>
        <w:t xml:space="preserve">A laboratory phenotype/genotype correlation of 1167 French patients from 670 families with von Willebrand disease: a new epidemiologic picture. </w:t>
      </w:r>
      <w:r w:rsidRPr="00A930FC">
        <w:rPr>
          <w:rFonts w:asciiTheme="majorHAnsi" w:eastAsia="Times New Roman" w:hAnsiTheme="majorHAnsi" w:cs="Times New Roman"/>
          <w:sz w:val="17"/>
          <w:szCs w:val="17"/>
        </w:rPr>
        <w:t>Medicine [Internet]. 2016 [citado 2017 Nov 18];95(11):e3038. Disponible en: https://www.ncbi.nlm.nih.gov/pmc/articles/PMC4839904/</w:t>
      </w:r>
    </w:p>
    <w:p w14:paraId="6DFA4502"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20.</w:t>
      </w:r>
      <w:r w:rsidRPr="00A930FC">
        <w:rPr>
          <w:rFonts w:asciiTheme="majorHAnsi" w:eastAsia="Times New Roman" w:hAnsiTheme="majorHAnsi" w:cs="Times New Roman"/>
          <w:sz w:val="17"/>
          <w:szCs w:val="17"/>
          <w:lang w:val="en-US"/>
        </w:rPr>
        <w:tab/>
        <w:t xml:space="preserve">Canis K, McKinnon TA, Nowak A, Haslam SM, Panico M, Morris HR, et al. Mapping the N-glycome of human von Willebrand factor. </w:t>
      </w:r>
      <w:r w:rsidRPr="00A930FC">
        <w:rPr>
          <w:rFonts w:asciiTheme="majorHAnsi" w:eastAsia="Times New Roman" w:hAnsiTheme="majorHAnsi" w:cs="Times New Roman"/>
          <w:sz w:val="17"/>
          <w:szCs w:val="17"/>
          <w:lang w:val="es-CO"/>
        </w:rPr>
        <w:t xml:space="preserve">Biochem J [Internet]. 2012 [citado 2017 Nov 18];447(2):217-28. </w:t>
      </w:r>
      <w:r w:rsidRPr="00A930FC">
        <w:rPr>
          <w:rFonts w:asciiTheme="majorHAnsi" w:eastAsia="Times New Roman" w:hAnsiTheme="majorHAnsi" w:cs="Times New Roman"/>
          <w:sz w:val="17"/>
          <w:szCs w:val="17"/>
        </w:rPr>
        <w:t>Disponible en: http://www.biochemj.org/content/447/2/217</w:t>
      </w:r>
    </w:p>
    <w:p w14:paraId="35365F47"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21.</w:t>
      </w:r>
      <w:r w:rsidRPr="00A930FC">
        <w:rPr>
          <w:rFonts w:asciiTheme="majorHAnsi" w:eastAsia="Times New Roman" w:hAnsiTheme="majorHAnsi" w:cs="Times New Roman"/>
          <w:sz w:val="17"/>
          <w:szCs w:val="17"/>
          <w:lang w:val="en-US"/>
        </w:rPr>
        <w:tab/>
        <w:t xml:space="preserve">Casonato, A, Daidone, V, Padrini R. Assessment of von Willebrand factor propeptide improves the diagnosis of von Willebrand disease. </w:t>
      </w:r>
      <w:r w:rsidRPr="00A930FC">
        <w:rPr>
          <w:rFonts w:asciiTheme="majorHAnsi" w:eastAsia="Times New Roman" w:hAnsiTheme="majorHAnsi" w:cs="Times New Roman"/>
          <w:sz w:val="17"/>
          <w:szCs w:val="17"/>
        </w:rPr>
        <w:t>Semin Thromb Hemost [Internet]. 2011 [citado 2017 Nov 20];37(05):456-463. Disponible en: https://www.thieme-connect.com/products/ejournals/abstract/10.1055/s-0031-1281029</w:t>
      </w:r>
    </w:p>
    <w:p w14:paraId="01F202E2"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hint="eastAsia"/>
          <w:sz w:val="17"/>
          <w:szCs w:val="17"/>
          <w:lang w:val="en-US"/>
        </w:rPr>
        <w:t>22.</w:t>
      </w:r>
      <w:r w:rsidRPr="00A930FC">
        <w:rPr>
          <w:rFonts w:asciiTheme="majorHAnsi" w:eastAsia="Times New Roman" w:hAnsiTheme="majorHAnsi" w:cs="Times New Roman" w:hint="eastAsia"/>
          <w:sz w:val="17"/>
          <w:szCs w:val="17"/>
          <w:lang w:val="en-US"/>
        </w:rPr>
        <w:tab/>
        <w:t xml:space="preserve">Madabhushi SR, Shang C, Dayananda KM, Rittenhouse-Olson K, Murphy M, Ryan TE, et al. Von Willebrand factor (VWF) propeptide binding to VWF D′ D3 domain attenuates platelet activation and adhesion. </w:t>
      </w:r>
      <w:r w:rsidRPr="00A930FC">
        <w:rPr>
          <w:rFonts w:asciiTheme="majorHAnsi" w:eastAsia="Times New Roman" w:hAnsiTheme="majorHAnsi" w:cs="Times New Roman" w:hint="eastAsia"/>
          <w:sz w:val="17"/>
          <w:szCs w:val="17"/>
          <w:lang w:val="es-CO"/>
        </w:rPr>
        <w:t>Blood [Internet]. 2012 [citado 2017 Nov 28];119(20):47</w:t>
      </w:r>
      <w:r w:rsidRPr="00A930FC">
        <w:rPr>
          <w:rFonts w:asciiTheme="majorHAnsi" w:eastAsia="Times New Roman" w:hAnsiTheme="majorHAnsi" w:cs="Times New Roman"/>
          <w:sz w:val="17"/>
          <w:szCs w:val="17"/>
          <w:lang w:val="es-CO"/>
        </w:rPr>
        <w:t xml:space="preserve">69-4778. </w:t>
      </w:r>
      <w:r w:rsidRPr="00A930FC">
        <w:rPr>
          <w:rFonts w:asciiTheme="majorHAnsi" w:eastAsia="Times New Roman" w:hAnsiTheme="majorHAnsi" w:cs="Times New Roman"/>
          <w:sz w:val="17"/>
          <w:szCs w:val="17"/>
        </w:rPr>
        <w:t>Disponible en: http://www.bloodjournal.org/content/early/2012/03/27/blood-2011-10-387548</w:t>
      </w:r>
    </w:p>
    <w:p w14:paraId="3C6554A5"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23.</w:t>
      </w:r>
      <w:r w:rsidRPr="00A930FC">
        <w:rPr>
          <w:rFonts w:asciiTheme="majorHAnsi" w:eastAsia="Times New Roman" w:hAnsiTheme="majorHAnsi" w:cs="Times New Roman"/>
          <w:sz w:val="17"/>
          <w:szCs w:val="17"/>
        </w:rPr>
        <w:tab/>
        <w:t>Woods AI, Blanco AN, Kempfer AC, Paiva J, Bermejo EI, Sánchez Luceros A, et al. Factor de von Willebrand y Enfermedad de von Willebrand: nuevos enfoques diagnósticos. Acta Bioquím Clín Latinoam [Internet]. 2016 [citado 2017 Dic 02];50(2):273-89. Disponible en: http://www.scielo.org.ar/pdf/abcl/v50n2/v50n2a12.pdf</w:t>
      </w:r>
    </w:p>
    <w:p w14:paraId="166D0ECB"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24.</w:t>
      </w:r>
      <w:r w:rsidRPr="00A930FC">
        <w:rPr>
          <w:rFonts w:asciiTheme="majorHAnsi" w:eastAsia="Times New Roman" w:hAnsiTheme="majorHAnsi" w:cs="Times New Roman"/>
          <w:sz w:val="17"/>
          <w:szCs w:val="17"/>
          <w:lang w:val="en-US"/>
        </w:rPr>
        <w:tab/>
        <w:t>Casari C, Lenting P, Wohner N, Christophe O, Denis C. Clearance of von Willebrand factor. J Thromb Haemost [Internet]. 2013 [citado 2017 Dic 02];11(s1):202-11. Disponible en: https://onlinelibrary.wiley.com/doi/abs/10.1111/jth.12226</w:t>
      </w:r>
    </w:p>
    <w:p w14:paraId="70DD4BD9"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25.</w:t>
      </w:r>
      <w:r w:rsidRPr="00A930FC">
        <w:rPr>
          <w:rFonts w:asciiTheme="majorHAnsi" w:eastAsia="Times New Roman" w:hAnsiTheme="majorHAnsi" w:cs="Times New Roman"/>
          <w:sz w:val="17"/>
          <w:szCs w:val="17"/>
          <w:lang w:val="en-US"/>
        </w:rPr>
        <w:tab/>
        <w:t xml:space="preserve">De Wee EM, Sanders YV, Mauser-Bunschoten EP, van der Bom JG, Degenaar-Dujardin ME, Eikenboom J, et al. Determinants of bleeding phenotype in adult patients with moderate or severe </w:t>
      </w:r>
      <w:r w:rsidRPr="00A930FC">
        <w:rPr>
          <w:rFonts w:asciiTheme="majorHAnsi" w:eastAsia="Times New Roman" w:hAnsiTheme="majorHAnsi" w:cs="Times New Roman"/>
          <w:sz w:val="17"/>
          <w:szCs w:val="17"/>
          <w:lang w:val="en-US"/>
        </w:rPr>
        <w:lastRenderedPageBreak/>
        <w:t xml:space="preserve">von Willebrand disease. </w:t>
      </w:r>
      <w:r w:rsidRPr="00A930FC">
        <w:rPr>
          <w:rFonts w:asciiTheme="majorHAnsi" w:eastAsia="Times New Roman" w:hAnsiTheme="majorHAnsi" w:cs="Times New Roman"/>
          <w:sz w:val="17"/>
          <w:szCs w:val="17"/>
          <w:lang w:val="es-CO"/>
        </w:rPr>
        <w:t xml:space="preserve">Thromb Haemost [Internet]. 2012 [citado 2017 Dic 03];108(4):683. </w:t>
      </w:r>
      <w:r w:rsidRPr="00A930FC">
        <w:rPr>
          <w:rFonts w:asciiTheme="majorHAnsi" w:eastAsia="Times New Roman" w:hAnsiTheme="majorHAnsi" w:cs="Times New Roman"/>
          <w:sz w:val="17"/>
          <w:szCs w:val="17"/>
        </w:rPr>
        <w:t>Disponible en: https://insights.ovid.com/thrombosis-haemostasis/jthrh/2011/07/002/determinants-bleeding-phenotype-patients-moderate/618/00149457</w:t>
      </w:r>
    </w:p>
    <w:p w14:paraId="74B3B652" w14:textId="22AA3568"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26.</w:t>
      </w:r>
      <w:r w:rsidRPr="00A930FC">
        <w:rPr>
          <w:rFonts w:asciiTheme="majorHAnsi" w:eastAsia="Times New Roman" w:hAnsiTheme="majorHAnsi" w:cs="Times New Roman"/>
          <w:sz w:val="17"/>
          <w:szCs w:val="17"/>
          <w:lang w:val="en-US"/>
        </w:rPr>
        <w:tab/>
        <w:t xml:space="preserve">Davies JA, Hathaway LS, Collins PW, Bowen DJ. Von Willebrand factor: demographics of plasma protein level in a large blood donor cohort from South Wales in the United Kingdom. </w:t>
      </w:r>
      <w:r w:rsidRPr="00A930FC">
        <w:rPr>
          <w:rFonts w:asciiTheme="majorHAnsi" w:eastAsia="Times New Roman" w:hAnsiTheme="majorHAnsi" w:cs="Times New Roman"/>
          <w:sz w:val="17"/>
          <w:szCs w:val="17"/>
        </w:rPr>
        <w:t>Haemophilia [Internet]. 2012 [citado 2017 Dic 09];18(3)</w:t>
      </w:r>
      <w:r w:rsidR="00B452AA">
        <w:rPr>
          <w:rFonts w:asciiTheme="majorHAnsi" w:eastAsia="Times New Roman" w:hAnsiTheme="majorHAnsi" w:cs="Times New Roman"/>
          <w:sz w:val="17"/>
          <w:szCs w:val="17"/>
        </w:rPr>
        <w:t>:e60-e87</w:t>
      </w:r>
      <w:r w:rsidRPr="00A930FC">
        <w:rPr>
          <w:rFonts w:asciiTheme="majorHAnsi" w:eastAsia="Times New Roman" w:hAnsiTheme="majorHAnsi" w:cs="Times New Roman"/>
          <w:sz w:val="17"/>
          <w:szCs w:val="17"/>
        </w:rPr>
        <w:t>. Disponible en: https://onlinelibrary.wiley.com/doi/abs/10.1111/j.1365-2516.2012.02782.x</w:t>
      </w:r>
    </w:p>
    <w:p w14:paraId="2D66569C"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27.</w:t>
      </w:r>
      <w:r w:rsidRPr="00A930FC">
        <w:rPr>
          <w:rFonts w:asciiTheme="majorHAnsi" w:eastAsia="Times New Roman" w:hAnsiTheme="majorHAnsi" w:cs="Times New Roman"/>
          <w:sz w:val="17"/>
          <w:szCs w:val="17"/>
          <w:lang w:val="en-US"/>
        </w:rPr>
        <w:tab/>
        <w:t xml:space="preserve">Miller C, Haff E, Platt S, Rawlins P, Drews C, Dilley A, et al. Measurement of von Willebrand factor activity: relative effects of ABO blood type and race. </w:t>
      </w:r>
      <w:r w:rsidRPr="00A930FC">
        <w:rPr>
          <w:rFonts w:asciiTheme="majorHAnsi" w:eastAsia="Times New Roman" w:hAnsiTheme="majorHAnsi" w:cs="Times New Roman"/>
          <w:sz w:val="17"/>
          <w:szCs w:val="17"/>
          <w:lang w:val="es-CO"/>
        </w:rPr>
        <w:t xml:space="preserve">J Thromb Haemost [Internet]. 2003 [citado 2017 Dic 09];1(10):2191-7. </w:t>
      </w:r>
      <w:r w:rsidRPr="00A930FC">
        <w:rPr>
          <w:rFonts w:asciiTheme="majorHAnsi" w:eastAsia="Times New Roman" w:hAnsiTheme="majorHAnsi" w:cs="Times New Roman"/>
          <w:sz w:val="17"/>
          <w:szCs w:val="17"/>
        </w:rPr>
        <w:t>Disponible en: https://onlinelibrary.wiley.com/doi/abs/10.1046/j.1538-7836.2003.00367.x</w:t>
      </w:r>
    </w:p>
    <w:p w14:paraId="4A156B06"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28.</w:t>
      </w:r>
      <w:r w:rsidRPr="00A930FC">
        <w:rPr>
          <w:rFonts w:asciiTheme="majorHAnsi" w:eastAsia="Times New Roman" w:hAnsiTheme="majorHAnsi" w:cs="Times New Roman"/>
          <w:sz w:val="17"/>
          <w:szCs w:val="17"/>
          <w:lang w:val="en-US"/>
        </w:rPr>
        <w:tab/>
        <w:t xml:space="preserve">Laffan MA, Lester W, O'Donnell JS, Will A, Tait RC, Goodeve A, et al. The diagnosis and management of von Willebrand disease: a United Kingdom Haemophilia Centre Doctors Organization guideline approved by the British Committee for Standards in Haematology. </w:t>
      </w:r>
      <w:r w:rsidRPr="00A930FC">
        <w:rPr>
          <w:rFonts w:asciiTheme="majorHAnsi" w:eastAsia="Times New Roman" w:hAnsiTheme="majorHAnsi" w:cs="Times New Roman"/>
          <w:sz w:val="17"/>
          <w:szCs w:val="17"/>
        </w:rPr>
        <w:t>Br J Haematol [Internet]. 2014 [citado 2018 Abril 8];167:453-465. Disponible en: https://www.ncbi.nlm.nih.gov/pmc/articles/PMC4283483/</w:t>
      </w:r>
    </w:p>
    <w:p w14:paraId="32B7A28B"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29.</w:t>
      </w:r>
      <w:r w:rsidRPr="00A930FC">
        <w:rPr>
          <w:rFonts w:asciiTheme="majorHAnsi" w:eastAsia="Times New Roman" w:hAnsiTheme="majorHAnsi" w:cs="Times New Roman"/>
          <w:sz w:val="17"/>
          <w:szCs w:val="17"/>
          <w:lang w:val="en-US"/>
        </w:rPr>
        <w:tab/>
        <w:t xml:space="preserve">Woods AI, Sánchez-Luceros A, Meschengieser SS, Kempfer AC, Blanco AN, Lazzari MA, ed. Diagnosis and management of von Willebrand disease in a single institution of Argentina. </w:t>
      </w:r>
      <w:r w:rsidRPr="00A930FC">
        <w:rPr>
          <w:rFonts w:asciiTheme="majorHAnsi" w:eastAsia="Times New Roman" w:hAnsiTheme="majorHAnsi" w:cs="Times New Roman"/>
          <w:sz w:val="17"/>
          <w:szCs w:val="17"/>
          <w:lang w:val="es-CO"/>
        </w:rPr>
        <w:t xml:space="preserve">Semin Thromb Hemost [Internet]. 2011 [citado 2017 Dic 10];37(5):568-75. </w:t>
      </w:r>
      <w:r w:rsidRPr="00A930FC">
        <w:rPr>
          <w:rFonts w:asciiTheme="majorHAnsi" w:eastAsia="Times New Roman" w:hAnsiTheme="majorHAnsi" w:cs="Times New Roman"/>
          <w:sz w:val="17"/>
          <w:szCs w:val="17"/>
        </w:rPr>
        <w:t>Disponible en: https://www.researchgate.net/profile/Adriana_Woods/publication/51816373_Diagnosis_and_Management_of_von_Willebrand_Disease_in_a_Single_Institution_of_Argentina/links/5a4d21c5a6fdcc3e99d158d2/Diagnosis-and-Management-of-von-Willebrand-Disease-in-a-Single-Institution-of-Argentina.pdf</w:t>
      </w:r>
    </w:p>
    <w:p w14:paraId="49E36E69"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30.</w:t>
      </w:r>
      <w:r w:rsidRPr="00A930FC">
        <w:rPr>
          <w:rFonts w:asciiTheme="majorHAnsi" w:eastAsia="Times New Roman" w:hAnsiTheme="majorHAnsi" w:cs="Times New Roman"/>
          <w:sz w:val="17"/>
          <w:szCs w:val="17"/>
        </w:rPr>
        <w:tab/>
        <w:t>Padilla-Romo MGZ, Jaloma-Cruz AR. Algoritmo diagnóstico para la enfermedad de von Willebrand (EVW) en población mexicana. Gac Méd Méx [Internet]. 2015 [citado 2018 Ene 13];151(6):828-33. Disponible en: https://www.anmm.org.mx/GMM/2015/n3/GMM_151_2015_3_399-402.pdf</w:t>
      </w:r>
    </w:p>
    <w:p w14:paraId="350F89A9"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31.</w:t>
      </w:r>
      <w:r w:rsidRPr="00A930FC">
        <w:rPr>
          <w:rFonts w:asciiTheme="majorHAnsi" w:eastAsia="Times New Roman" w:hAnsiTheme="majorHAnsi" w:cs="Times New Roman"/>
          <w:sz w:val="17"/>
          <w:szCs w:val="17"/>
          <w:lang w:val="en-US"/>
        </w:rPr>
        <w:tab/>
        <w:t xml:space="preserve">Favaloro EJ. Diagnosis and classification of von Willebrand disease: a review of the differential utility of various functional von Willebrand factor assays. </w:t>
      </w:r>
      <w:r w:rsidRPr="00A930FC">
        <w:rPr>
          <w:rFonts w:asciiTheme="majorHAnsi" w:eastAsia="Times New Roman" w:hAnsiTheme="majorHAnsi" w:cs="Times New Roman"/>
          <w:sz w:val="17"/>
          <w:szCs w:val="17"/>
        </w:rPr>
        <w:t>Blood Coagul Fibrinolysis [Internet]. 2011 [citado 2018 Ene 28];22(7):553-64. Disponible en: https://journals.lww.com/bloodcoagulation/Fulltext/2011/10000/Diagnosis_and_classification_of_von_Willebrand.1.aspx</w:t>
      </w:r>
    </w:p>
    <w:p w14:paraId="3020F83B"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32.</w:t>
      </w:r>
      <w:r w:rsidRPr="00A930FC">
        <w:rPr>
          <w:rFonts w:asciiTheme="majorHAnsi" w:eastAsia="Times New Roman" w:hAnsiTheme="majorHAnsi" w:cs="Times New Roman"/>
          <w:sz w:val="17"/>
          <w:szCs w:val="17"/>
        </w:rPr>
        <w:tab/>
        <w:t>Hernández-Zamora E, Zavala-Hernández C, Quintana-González S, Reyes-Maldonado E. Enfermedad de von Willebrand, biología molecular y diagnóstico. Cirugía y Cirujanos [Internet]. 2015 [citado 2018 Feb 03];83(3):255-64. Disponible en: https://www.sciencedirect.com/science/article/pii/S0009741115000687</w:t>
      </w:r>
    </w:p>
    <w:p w14:paraId="7BDFAF1F"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33.</w:t>
      </w:r>
      <w:r w:rsidRPr="00A930FC">
        <w:rPr>
          <w:rFonts w:asciiTheme="majorHAnsi" w:eastAsia="Times New Roman" w:hAnsiTheme="majorHAnsi" w:cs="Times New Roman"/>
          <w:sz w:val="17"/>
          <w:szCs w:val="17"/>
          <w:lang w:val="en-US"/>
        </w:rPr>
        <w:tab/>
        <w:t xml:space="preserve">Kano T, Kondo K, Hamako J, Matsushita F, Sakai K, Matsui T. Effects of plasma glycosyltransferase on the ABO(H) blood group antigens of human von Willebrand factor. </w:t>
      </w:r>
      <w:r w:rsidRPr="00A930FC">
        <w:rPr>
          <w:rFonts w:asciiTheme="majorHAnsi" w:eastAsia="Times New Roman" w:hAnsiTheme="majorHAnsi" w:cs="Times New Roman"/>
          <w:sz w:val="17"/>
          <w:szCs w:val="17"/>
        </w:rPr>
        <w:t>Int J Hematol [Internet]. 2018 Apr [citado 2018 Feb 18];108(2):139-144. Disponible en: https://link.springer.com/article/10.1007/s12185-018-2452-0</w:t>
      </w:r>
    </w:p>
    <w:p w14:paraId="4F4E213C"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34.</w:t>
      </w:r>
      <w:r w:rsidRPr="00A930FC">
        <w:rPr>
          <w:rFonts w:asciiTheme="majorHAnsi" w:eastAsia="Times New Roman" w:hAnsiTheme="majorHAnsi" w:cs="Times New Roman"/>
          <w:sz w:val="17"/>
          <w:szCs w:val="17"/>
          <w:lang w:val="en-US"/>
        </w:rPr>
        <w:tab/>
        <w:t xml:space="preserve">Franchini M, Makris M. Non-O blood group: an important genetic risk factor for venous thromboembolism. </w:t>
      </w:r>
      <w:r w:rsidRPr="00A930FC">
        <w:rPr>
          <w:rFonts w:asciiTheme="majorHAnsi" w:eastAsia="Times New Roman" w:hAnsiTheme="majorHAnsi" w:cs="Times New Roman"/>
          <w:sz w:val="17"/>
          <w:szCs w:val="17"/>
        </w:rPr>
        <w:t>Blood Transfus [Internet]. 2013 [citado 2018 Ene 17];11:164-5. Disponible en: https://www.ncbi.nlm.nih.gov/pmc/articles/PMC3626462/pdf/blt-11-164.pdf</w:t>
      </w:r>
      <w:bookmarkStart w:id="0" w:name="_GoBack"/>
      <w:bookmarkEnd w:id="0"/>
    </w:p>
    <w:p w14:paraId="035DE713"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35.</w:t>
      </w:r>
      <w:r w:rsidRPr="00A930FC">
        <w:rPr>
          <w:rFonts w:asciiTheme="majorHAnsi" w:eastAsia="Times New Roman" w:hAnsiTheme="majorHAnsi" w:cs="Times New Roman"/>
          <w:sz w:val="17"/>
          <w:szCs w:val="17"/>
          <w:lang w:val="en-US"/>
        </w:rPr>
        <w:tab/>
        <w:t>Brehm MA. Von Willebrand factor processing. Hamostaseologie. 2016 Nov 21;37(1):59-72.</w:t>
      </w:r>
    </w:p>
    <w:p w14:paraId="44766313"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36.</w:t>
      </w:r>
      <w:r w:rsidRPr="00A930FC">
        <w:rPr>
          <w:rFonts w:asciiTheme="majorHAnsi" w:eastAsia="Times New Roman" w:hAnsiTheme="majorHAnsi" w:cs="Times New Roman"/>
          <w:sz w:val="17"/>
          <w:szCs w:val="17"/>
          <w:lang w:val="en-US"/>
        </w:rPr>
        <w:tab/>
        <w:t xml:space="preserve">Solecka BA, Weise C, Laffan MA, Kannicht C. Site-specific analysis of von Willebrand factor O- glycosylation. </w:t>
      </w:r>
      <w:r w:rsidRPr="00A930FC">
        <w:rPr>
          <w:rFonts w:asciiTheme="majorHAnsi" w:eastAsia="Times New Roman" w:hAnsiTheme="majorHAnsi" w:cs="Times New Roman"/>
          <w:sz w:val="17"/>
          <w:szCs w:val="17"/>
        </w:rPr>
        <w:t xml:space="preserve">J Thromb </w:t>
      </w:r>
      <w:r w:rsidRPr="00A930FC">
        <w:rPr>
          <w:rFonts w:asciiTheme="majorHAnsi" w:eastAsia="Times New Roman" w:hAnsiTheme="majorHAnsi" w:cs="Times New Roman"/>
          <w:sz w:val="17"/>
          <w:szCs w:val="17"/>
        </w:rPr>
        <w:lastRenderedPageBreak/>
        <w:t>Haemost [Internet]. 2016 Abr 1 [citado 2018 Ene 15];14(4):733-46. Disponible en: http://onlinelibrary.wiley.com/doi/10.1111/jth.13260/full</w:t>
      </w:r>
    </w:p>
    <w:p w14:paraId="0CC398F6"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37.</w:t>
      </w:r>
      <w:r w:rsidRPr="00A930FC">
        <w:rPr>
          <w:rFonts w:asciiTheme="majorHAnsi" w:eastAsia="Times New Roman" w:hAnsiTheme="majorHAnsi" w:cs="Times New Roman"/>
          <w:sz w:val="17"/>
          <w:szCs w:val="17"/>
        </w:rPr>
        <w:tab/>
        <w:t xml:space="preserve">McGrath RT, van den Biggelaar M, Byrne B, O’Sullivan JM, Rawley O, O’Kennedy R, et al. </w:t>
      </w:r>
      <w:r w:rsidRPr="00A930FC">
        <w:rPr>
          <w:rFonts w:asciiTheme="majorHAnsi" w:eastAsia="Times New Roman" w:hAnsiTheme="majorHAnsi" w:cs="Times New Roman"/>
          <w:sz w:val="17"/>
          <w:szCs w:val="17"/>
          <w:lang w:val="en-US"/>
        </w:rPr>
        <w:t xml:space="preserve">Altered glycosylation of platelet-derived von Willebrand factor confers resistance to ADAMTS13 proteolysis. </w:t>
      </w:r>
      <w:r w:rsidRPr="00A930FC">
        <w:rPr>
          <w:rFonts w:asciiTheme="majorHAnsi" w:eastAsia="Times New Roman" w:hAnsiTheme="majorHAnsi" w:cs="Times New Roman"/>
          <w:sz w:val="17"/>
          <w:szCs w:val="17"/>
        </w:rPr>
        <w:t>Blood [Internet]. 2013 Dic 12 [citado 2018 Ene 17];122(25):4107-10. Disponible en: http://www.bloodjournal.org/content/122/25/4107.long</w:t>
      </w:r>
    </w:p>
    <w:p w14:paraId="46CFCCA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38.</w:t>
      </w:r>
      <w:r w:rsidRPr="00A930FC">
        <w:rPr>
          <w:rFonts w:asciiTheme="majorHAnsi" w:eastAsia="Times New Roman" w:hAnsiTheme="majorHAnsi" w:cs="Times New Roman"/>
          <w:sz w:val="17"/>
          <w:szCs w:val="17"/>
          <w:lang w:val="en-US"/>
        </w:rPr>
        <w:tab/>
        <w:t xml:space="preserve">Mckinnon TAJ, Goode EC, Birdsey GM, Nowak AA, Chan ACK, Lane DA, et al. Specific N-linked glycosylation sites modulate synthesis and secretion of von Willebrand factor. </w:t>
      </w:r>
      <w:r w:rsidRPr="00A930FC">
        <w:rPr>
          <w:rFonts w:asciiTheme="majorHAnsi" w:eastAsia="Times New Roman" w:hAnsiTheme="majorHAnsi" w:cs="Times New Roman"/>
          <w:sz w:val="17"/>
          <w:szCs w:val="17"/>
          <w:lang w:val="es-CO"/>
        </w:rPr>
        <w:t xml:space="preserve">Blood [Internet]. 2011 [citado 2017 Dec 17];116(4):640-8. </w:t>
      </w:r>
      <w:r w:rsidRPr="00A930FC">
        <w:rPr>
          <w:rFonts w:asciiTheme="majorHAnsi" w:eastAsia="Times New Roman" w:hAnsiTheme="majorHAnsi" w:cs="Times New Roman"/>
          <w:sz w:val="17"/>
          <w:szCs w:val="17"/>
        </w:rPr>
        <w:t>Disponible en: http://www.bloodjournal.org/content/bloodjournal/116/4/640.full.pdf</w:t>
      </w:r>
    </w:p>
    <w:p w14:paraId="2CEB718C"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39.</w:t>
      </w:r>
      <w:r w:rsidRPr="00A930FC">
        <w:rPr>
          <w:rFonts w:asciiTheme="majorHAnsi" w:eastAsia="Times New Roman" w:hAnsiTheme="majorHAnsi" w:cs="Times New Roman"/>
          <w:sz w:val="17"/>
          <w:szCs w:val="17"/>
          <w:lang w:val="en-US"/>
        </w:rPr>
        <w:tab/>
        <w:t xml:space="preserve">Lynch CJ, Lane DA. N-linked glycan stabilization of the VWF A2 domain. </w:t>
      </w:r>
      <w:r w:rsidRPr="00A930FC">
        <w:rPr>
          <w:rFonts w:asciiTheme="majorHAnsi" w:eastAsia="Times New Roman" w:hAnsiTheme="majorHAnsi" w:cs="Times New Roman"/>
          <w:sz w:val="17"/>
          <w:szCs w:val="17"/>
        </w:rPr>
        <w:t>Blood [Internet]. 2016 Mar 31 [citado 2018 Ene 17];127(13):1711-8. Disponible en: https://www.ncbi.nlm.nih.gov/pmc/articles/PMC4817312/</w:t>
      </w:r>
    </w:p>
    <w:p w14:paraId="5F6FCEE4"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40.</w:t>
      </w:r>
      <w:r w:rsidRPr="00A930FC">
        <w:rPr>
          <w:rFonts w:asciiTheme="majorHAnsi" w:eastAsia="Times New Roman" w:hAnsiTheme="majorHAnsi" w:cs="Times New Roman"/>
          <w:sz w:val="17"/>
          <w:szCs w:val="17"/>
          <w:lang w:val="en-US"/>
        </w:rPr>
        <w:tab/>
        <w:t xml:space="preserve">Eikenboom J, Federici AB, Dirven RJ, Castaman G, Rodeghiero F, Budde U, et al. VWF propeptide and ratios between VWF, VWF propeptide, and FVIII in the characterization of type 1 von Willebrand disease. </w:t>
      </w:r>
      <w:r w:rsidRPr="00A930FC">
        <w:rPr>
          <w:rFonts w:asciiTheme="majorHAnsi" w:eastAsia="Times New Roman" w:hAnsiTheme="majorHAnsi" w:cs="Times New Roman"/>
          <w:sz w:val="17"/>
          <w:szCs w:val="17"/>
          <w:lang w:val="es-CO"/>
        </w:rPr>
        <w:t xml:space="preserve">Blood [Internet]. 2013 Mar 21 [citado 2018 Ene 20];121(12):2336-9. </w:t>
      </w:r>
      <w:r w:rsidRPr="00A930FC">
        <w:rPr>
          <w:rFonts w:asciiTheme="majorHAnsi" w:eastAsia="Times New Roman" w:hAnsiTheme="majorHAnsi" w:cs="Times New Roman"/>
          <w:sz w:val="17"/>
          <w:szCs w:val="17"/>
        </w:rPr>
        <w:t>Disponible en: https://www.ncbi.nlm.nih.gov/pmc/articles/PMC4191434/</w:t>
      </w:r>
    </w:p>
    <w:p w14:paraId="5F60E229"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41.</w:t>
      </w:r>
      <w:r w:rsidRPr="00A930FC">
        <w:rPr>
          <w:rFonts w:asciiTheme="majorHAnsi" w:eastAsia="Times New Roman" w:hAnsiTheme="majorHAnsi" w:cs="Times New Roman"/>
          <w:sz w:val="17"/>
          <w:szCs w:val="17"/>
          <w:lang w:val="en-US"/>
        </w:rPr>
        <w:tab/>
        <w:t xml:space="preserve">Sanders Y V, Groeneveld D, Meijer K, Fijnvandraat K, Cnossen MH, Van Der Bom JG, et al. von Willebrand factor propeptide and the phenotypic classification of von Willebrand disease. </w:t>
      </w:r>
      <w:r w:rsidRPr="00A930FC">
        <w:rPr>
          <w:rFonts w:asciiTheme="majorHAnsi" w:eastAsia="Times New Roman" w:hAnsiTheme="majorHAnsi" w:cs="Times New Roman"/>
          <w:sz w:val="17"/>
          <w:szCs w:val="17"/>
        </w:rPr>
        <w:t>Blood [Internet]. 2015 [citado 2018 Ene 17];125(19):3006-13. Disponible en: http://www.bloodjournal.org/content/bloodjournal/125/19/3006.full.pdf</w:t>
      </w:r>
    </w:p>
    <w:p w14:paraId="22D116DD"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42.</w:t>
      </w:r>
      <w:r w:rsidRPr="00A930FC">
        <w:rPr>
          <w:rFonts w:asciiTheme="majorHAnsi" w:eastAsia="Times New Roman" w:hAnsiTheme="majorHAnsi" w:cs="Times New Roman"/>
          <w:sz w:val="17"/>
          <w:szCs w:val="17"/>
        </w:rPr>
        <w:tab/>
        <w:t xml:space="preserve">Ozel AB, McGee B, Siemieniak D, Jacobi PM, Haberichter SL, Brody LC, et al. </w:t>
      </w:r>
      <w:r w:rsidRPr="00A930FC">
        <w:rPr>
          <w:rFonts w:asciiTheme="majorHAnsi" w:eastAsia="Times New Roman" w:hAnsiTheme="majorHAnsi" w:cs="Times New Roman"/>
          <w:sz w:val="17"/>
          <w:szCs w:val="17"/>
          <w:lang w:val="en-US"/>
        </w:rPr>
        <w:t xml:space="preserve">Genome-wide studies of von Willebrand factor propeptide identify loci contributing to variation in propeptide levels and von Willebrand factor clearance. </w:t>
      </w:r>
      <w:r w:rsidRPr="00A930FC">
        <w:rPr>
          <w:rFonts w:asciiTheme="majorHAnsi" w:eastAsia="Times New Roman" w:hAnsiTheme="majorHAnsi" w:cs="Times New Roman"/>
          <w:sz w:val="17"/>
          <w:szCs w:val="17"/>
        </w:rPr>
        <w:t>J Thromb Haemost [Internet]. 2016 Sep [citado 2018 Ene 20];14(9):1888-98. Disponible en: https://www.ncbi.nlm.nih.gov/pmc/articles/PMC5035595/</w:t>
      </w:r>
    </w:p>
    <w:p w14:paraId="4A66D934"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rPr>
        <w:t>43.</w:t>
      </w:r>
      <w:r w:rsidRPr="00A930FC">
        <w:rPr>
          <w:rFonts w:asciiTheme="majorHAnsi" w:eastAsia="Times New Roman" w:hAnsiTheme="majorHAnsi" w:cs="Times New Roman"/>
          <w:sz w:val="17"/>
          <w:szCs w:val="17"/>
        </w:rPr>
        <w:tab/>
        <w:t xml:space="preserve">Muia J, Zhu J, Gupta G, Haberichter SL, Friedman KD, Feys HB, et al. </w:t>
      </w:r>
      <w:r w:rsidRPr="00A930FC">
        <w:rPr>
          <w:rFonts w:asciiTheme="majorHAnsi" w:eastAsia="Times New Roman" w:hAnsiTheme="majorHAnsi" w:cs="Times New Roman"/>
          <w:sz w:val="17"/>
          <w:szCs w:val="17"/>
          <w:lang w:val="en-US"/>
        </w:rPr>
        <w:t xml:space="preserve">Allosteric activation of ADAMTS13 by von Willebrand factor. </w:t>
      </w:r>
      <w:r w:rsidRPr="00A930FC">
        <w:rPr>
          <w:rFonts w:asciiTheme="majorHAnsi" w:eastAsia="Times New Roman" w:hAnsiTheme="majorHAnsi" w:cs="Times New Roman"/>
          <w:sz w:val="17"/>
          <w:szCs w:val="17"/>
          <w:lang w:val="es-ES"/>
        </w:rPr>
        <w:t xml:space="preserve">Proc Natl Acad Sci U S A [Internet]. </w:t>
      </w:r>
      <w:r w:rsidRPr="00A930FC">
        <w:rPr>
          <w:rFonts w:asciiTheme="majorHAnsi" w:eastAsia="Times New Roman" w:hAnsiTheme="majorHAnsi" w:cs="Times New Roman"/>
          <w:sz w:val="17"/>
          <w:szCs w:val="17"/>
        </w:rPr>
        <w:t>2014 Dic 30 [citado 2018 Feb 17];111(52):18584-9. Disponible en: https://www.ncbi.nlm.nih.gov/pmc/articles/PMC4284596/?report=reader</w:t>
      </w:r>
    </w:p>
    <w:p w14:paraId="66A76D37"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44.</w:t>
      </w:r>
      <w:r w:rsidRPr="00A930FC">
        <w:rPr>
          <w:rFonts w:asciiTheme="majorHAnsi" w:eastAsia="Times New Roman" w:hAnsiTheme="majorHAnsi" w:cs="Times New Roman"/>
          <w:sz w:val="17"/>
          <w:szCs w:val="17"/>
          <w:lang w:val="en-US"/>
        </w:rPr>
        <w:tab/>
        <w:t xml:space="preserve">South K, Luken BM, Crawley JTB, Phillips R, Thomas M, Collins RF, et al. Conformational activation of ADAMTS13. </w:t>
      </w:r>
      <w:r w:rsidRPr="00A930FC">
        <w:rPr>
          <w:rFonts w:asciiTheme="majorHAnsi" w:eastAsia="Times New Roman" w:hAnsiTheme="majorHAnsi" w:cs="Times New Roman"/>
          <w:sz w:val="17"/>
          <w:szCs w:val="17"/>
          <w:lang w:val="es-CO"/>
        </w:rPr>
        <w:t xml:space="preserve">Proc Natl Acad Sci U S A [Internet]. 2014 Dic 30 [citado 2018 Feb 17];111(52):18578-83. </w:t>
      </w:r>
      <w:r w:rsidRPr="00A930FC">
        <w:rPr>
          <w:rFonts w:asciiTheme="majorHAnsi" w:eastAsia="Times New Roman" w:hAnsiTheme="majorHAnsi" w:cs="Times New Roman"/>
          <w:sz w:val="17"/>
          <w:szCs w:val="17"/>
        </w:rPr>
        <w:t>Disponible en: https://www.ncbi.nlm.nih.gov/pmc/articles/PMC4284544/?report=reader</w:t>
      </w:r>
    </w:p>
    <w:p w14:paraId="4015C234"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45.</w:t>
      </w:r>
      <w:r w:rsidRPr="00A930FC">
        <w:rPr>
          <w:rFonts w:asciiTheme="majorHAnsi" w:eastAsia="Times New Roman" w:hAnsiTheme="majorHAnsi" w:cs="Times New Roman"/>
          <w:sz w:val="17"/>
          <w:szCs w:val="17"/>
          <w:lang w:val="en-US"/>
        </w:rPr>
        <w:tab/>
        <w:t>Al-Awadhi AM, Al-Sharrah SK, Jadaon MM, Al-Sayegh F. Investigating the influence of age, gender and ABO blood group on ADAMTS-13 antigen and activity levels in healthy Arabs. Blood Transfus [Internet]. 2014 Jan [Citado 2018 Feb 10];12(1):138-40. Disponible en: https://www.ncbi.nlm.nih.gov/pmc/articles/PMC3926720/</w:t>
      </w:r>
    </w:p>
    <w:p w14:paraId="1DC81BF6" w14:textId="11C34183" w:rsidR="00AB3F13" w:rsidRPr="00A930FC" w:rsidRDefault="00AB3F13" w:rsidP="00B452AA">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46.</w:t>
      </w:r>
      <w:r w:rsidRPr="00A930FC">
        <w:rPr>
          <w:rFonts w:asciiTheme="majorHAnsi" w:eastAsia="Times New Roman" w:hAnsiTheme="majorHAnsi" w:cs="Times New Roman"/>
          <w:sz w:val="17"/>
          <w:szCs w:val="17"/>
          <w:lang w:val="en-US"/>
        </w:rPr>
        <w:tab/>
        <w:t xml:space="preserve">Giebeler N, Zigrino P. A Disintegrin and Metalloprotease (ADAM): Historical Overview of Their Functions. </w:t>
      </w:r>
      <w:r w:rsidRPr="00A930FC">
        <w:rPr>
          <w:rFonts w:asciiTheme="majorHAnsi" w:eastAsia="Times New Roman" w:hAnsiTheme="majorHAnsi" w:cs="Times New Roman"/>
          <w:sz w:val="17"/>
          <w:szCs w:val="17"/>
        </w:rPr>
        <w:t>Toxins (Basel) [Internet]. 2016 [citado 2018 M</w:t>
      </w:r>
      <w:r w:rsidR="00B452AA">
        <w:rPr>
          <w:rFonts w:asciiTheme="majorHAnsi" w:eastAsia="Times New Roman" w:hAnsiTheme="majorHAnsi" w:cs="Times New Roman"/>
          <w:sz w:val="17"/>
          <w:szCs w:val="17"/>
        </w:rPr>
        <w:t xml:space="preserve">arzo 10];8(122). Disponible en: </w:t>
      </w:r>
      <w:r w:rsidRPr="00A930FC">
        <w:rPr>
          <w:rFonts w:asciiTheme="majorHAnsi" w:eastAsia="Times New Roman" w:hAnsiTheme="majorHAnsi" w:cs="Times New Roman"/>
          <w:sz w:val="17"/>
          <w:szCs w:val="17"/>
        </w:rPr>
        <w:t>https://www.ncbi.nlm.nih.gov/pmc/articles/PMC4848645/pdf/toxins-08-00122.pdf</w:t>
      </w:r>
    </w:p>
    <w:p w14:paraId="20E56265"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47.</w:t>
      </w:r>
      <w:r w:rsidRPr="00A930FC">
        <w:rPr>
          <w:rFonts w:asciiTheme="majorHAnsi" w:eastAsia="Times New Roman" w:hAnsiTheme="majorHAnsi" w:cs="Times New Roman"/>
          <w:sz w:val="17"/>
          <w:szCs w:val="17"/>
          <w:lang w:val="en-US"/>
        </w:rPr>
        <w:tab/>
        <w:t xml:space="preserve">South K, Lane DA. ADAMTS-13 and von Willebrand factor: a dynamic duo. </w:t>
      </w:r>
      <w:r w:rsidRPr="00A930FC">
        <w:rPr>
          <w:rFonts w:asciiTheme="majorHAnsi" w:eastAsia="Times New Roman" w:hAnsiTheme="majorHAnsi" w:cs="Times New Roman"/>
          <w:sz w:val="17"/>
          <w:szCs w:val="17"/>
        </w:rPr>
        <w:t>J Thromb Haemost [Internet]. 2018 enero 1 [Citado 2018 Feb 10];16(1):6-18. Disponible en: http://onlinelibrary.wiley.com/doi/10.1111/jth.13898/full</w:t>
      </w:r>
    </w:p>
    <w:p w14:paraId="1AFC6EBF"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rPr>
        <w:t>48.</w:t>
      </w:r>
      <w:r w:rsidRPr="00A930FC">
        <w:rPr>
          <w:rFonts w:asciiTheme="majorHAnsi" w:eastAsia="Times New Roman" w:hAnsiTheme="majorHAnsi" w:cs="Times New Roman"/>
          <w:sz w:val="17"/>
          <w:szCs w:val="17"/>
        </w:rPr>
        <w:tab/>
        <w:t xml:space="preserve">Habe K, Wada H, Higashiyama A, Akeda T, Tsuda K, Mori R, et al. </w:t>
      </w:r>
      <w:r w:rsidRPr="00A930FC">
        <w:rPr>
          <w:rFonts w:asciiTheme="majorHAnsi" w:eastAsia="Times New Roman" w:hAnsiTheme="majorHAnsi" w:cs="Times New Roman"/>
          <w:sz w:val="17"/>
          <w:szCs w:val="17"/>
          <w:lang w:val="en-US"/>
        </w:rPr>
        <w:t xml:space="preserve">The Plasma Levels of ADAMTS-13, von Willebrand Factor, VWFpp, and Fibrin-Related Markers in Patients With Systemic </w:t>
      </w:r>
      <w:r w:rsidRPr="00A930FC">
        <w:rPr>
          <w:rFonts w:asciiTheme="majorHAnsi" w:eastAsia="Times New Roman" w:hAnsiTheme="majorHAnsi" w:cs="Times New Roman"/>
          <w:sz w:val="17"/>
          <w:szCs w:val="17"/>
          <w:lang w:val="en-US"/>
        </w:rPr>
        <w:lastRenderedPageBreak/>
        <w:t>Sclerosis Having Thrombosis. Clin Appl Thromb Hemost. 2018;24(6):920-27. doi: 10.1177/1076029617736382</w:t>
      </w:r>
    </w:p>
    <w:p w14:paraId="613155C0"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49.</w:t>
      </w:r>
      <w:r w:rsidRPr="00A930FC">
        <w:rPr>
          <w:rFonts w:asciiTheme="majorHAnsi" w:eastAsia="Times New Roman" w:hAnsiTheme="majorHAnsi" w:cs="Times New Roman"/>
          <w:sz w:val="17"/>
          <w:szCs w:val="17"/>
          <w:lang w:val="en-US"/>
        </w:rPr>
        <w:tab/>
        <w:t>Jacobi PM, Gill JC, Flood VH, Jakab DA, Friedman KD, Haberichter SL. Intersection of mechanisms of type 2A EVW through defects in VWF multimerization, secretion, ADAMTS-13 susceptibility, and regulated storage. Blood [Internet]. 2012 May 10 [citado 2018 Feb 17];119(19):4543-53. Disponible en: https://www.ncbi.nlm.nih.gov/pmc/articles/PMC3362367/</w:t>
      </w:r>
    </w:p>
    <w:p w14:paraId="3CB381B7"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50.</w:t>
      </w:r>
      <w:r w:rsidRPr="00A930FC">
        <w:rPr>
          <w:rFonts w:asciiTheme="majorHAnsi" w:eastAsia="Times New Roman" w:hAnsiTheme="majorHAnsi" w:cs="Times New Roman"/>
          <w:sz w:val="17"/>
          <w:szCs w:val="17"/>
          <w:lang w:val="en-US"/>
        </w:rPr>
        <w:tab/>
        <w:t xml:space="preserve">Nowak AA, McKinnon TAJ, Hughes JM, Chion ACK, Laffan MA. The O-linked glycans of human von Willebrand factor modulate its interaction with ADAMTS-13. </w:t>
      </w:r>
      <w:r w:rsidRPr="00A930FC">
        <w:rPr>
          <w:rFonts w:asciiTheme="majorHAnsi" w:eastAsia="Times New Roman" w:hAnsiTheme="majorHAnsi" w:cs="Times New Roman"/>
          <w:sz w:val="17"/>
          <w:szCs w:val="17"/>
        </w:rPr>
        <w:t>J Thromb Haemost [Internet]. 2014 Ene 1 [citado 2018 Feb 17];12(1):54-61. Disponible en: http://onlinelibrary.wiley.com/doi/10.1111/jth.12451/full</w:t>
      </w:r>
    </w:p>
    <w:p w14:paraId="4D841096"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51.</w:t>
      </w:r>
      <w:r w:rsidRPr="00A930FC">
        <w:rPr>
          <w:rFonts w:asciiTheme="majorHAnsi" w:eastAsia="Times New Roman" w:hAnsiTheme="majorHAnsi" w:cs="Times New Roman"/>
          <w:sz w:val="17"/>
          <w:szCs w:val="17"/>
          <w:lang w:val="en-US"/>
        </w:rPr>
        <w:tab/>
        <w:t xml:space="preserve">Liu X, Chen X, Yang J, Guo R. Association of ABO blood groups with von Willebrand factor, factor VIII and ADAMTS-13 in patients with lung cancer. </w:t>
      </w:r>
      <w:r w:rsidRPr="00A930FC">
        <w:rPr>
          <w:rFonts w:asciiTheme="majorHAnsi" w:eastAsia="Times New Roman" w:hAnsiTheme="majorHAnsi" w:cs="Times New Roman"/>
          <w:sz w:val="17"/>
          <w:szCs w:val="17"/>
        </w:rPr>
        <w:t>Oncol Lette [Internet]. 2017 [citado 2018 Mar 1];14(3):3787-3794. Disponible en: https://www.ncbi.nlm.nih.gov/pmc/articles/PMC5587991/</w:t>
      </w:r>
    </w:p>
    <w:p w14:paraId="5E7D32C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52.</w:t>
      </w:r>
      <w:r w:rsidRPr="00A930FC">
        <w:rPr>
          <w:rFonts w:asciiTheme="majorHAnsi" w:eastAsia="Times New Roman" w:hAnsiTheme="majorHAnsi" w:cs="Times New Roman"/>
          <w:sz w:val="17"/>
          <w:szCs w:val="17"/>
          <w:lang w:val="en-US"/>
        </w:rPr>
        <w:tab/>
        <w:t xml:space="preserve">Song J, Chen F, Campos M, Bolgiano D, Houck K, Chambless LE, et al. Quantitative Influence of ABO Blood Groups on Factor VIII and Its Ratio to von Willebrand Factor, Novel Observations from an ARIC Study of 11,673 Subjects. </w:t>
      </w:r>
      <w:r w:rsidRPr="00A930FC">
        <w:rPr>
          <w:rFonts w:asciiTheme="majorHAnsi" w:eastAsia="Times New Roman" w:hAnsiTheme="majorHAnsi" w:cs="Times New Roman"/>
          <w:sz w:val="17"/>
          <w:szCs w:val="17"/>
          <w:lang w:val="es-CO"/>
        </w:rPr>
        <w:t xml:space="preserve">PLoS One [Internet]. 2015 [citado 2018 Mar 12];10(8):e0132626. </w:t>
      </w:r>
      <w:r w:rsidRPr="00A930FC">
        <w:rPr>
          <w:rFonts w:asciiTheme="majorHAnsi" w:eastAsia="Times New Roman" w:hAnsiTheme="majorHAnsi" w:cs="Times New Roman"/>
          <w:sz w:val="17"/>
          <w:szCs w:val="17"/>
        </w:rPr>
        <w:t>Disponible en: https://www.ncbi.nlm.nih.gov/pmc/articles/PMC4526567/</w:t>
      </w:r>
    </w:p>
    <w:p w14:paraId="04126998"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53.</w:t>
      </w:r>
      <w:r w:rsidRPr="00A930FC">
        <w:rPr>
          <w:rFonts w:asciiTheme="majorHAnsi" w:eastAsia="Times New Roman" w:hAnsiTheme="majorHAnsi" w:cs="Times New Roman"/>
          <w:sz w:val="17"/>
          <w:szCs w:val="17"/>
          <w:lang w:val="en-US"/>
        </w:rPr>
        <w:tab/>
        <w:t xml:space="preserve">Sousa NC, Anicchino-Bizzacchi JM, Locatelli MF, Castro V, Barjas-Castro ML. The relationship between ABO groups and subgroups, factor VIII and von Willebrand factor. </w:t>
      </w:r>
      <w:r w:rsidRPr="00A930FC">
        <w:rPr>
          <w:rFonts w:asciiTheme="majorHAnsi" w:eastAsia="Times New Roman" w:hAnsiTheme="majorHAnsi" w:cs="Times New Roman"/>
          <w:sz w:val="17"/>
          <w:szCs w:val="17"/>
          <w:lang w:val="es-CO"/>
        </w:rPr>
        <w:t xml:space="preserve">Haematologica [Internet]. 2007 [citado 2018 Abr 02];92(2):236-9. </w:t>
      </w:r>
      <w:r w:rsidRPr="00A930FC">
        <w:rPr>
          <w:rFonts w:asciiTheme="majorHAnsi" w:eastAsia="Times New Roman" w:hAnsiTheme="majorHAnsi" w:cs="Times New Roman"/>
          <w:sz w:val="17"/>
          <w:szCs w:val="17"/>
        </w:rPr>
        <w:t>Disponible en: http://www.haematologica.org/content/92/2/236.short</w:t>
      </w:r>
    </w:p>
    <w:p w14:paraId="5169A982"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54.</w:t>
      </w:r>
      <w:r w:rsidRPr="00A930FC">
        <w:rPr>
          <w:rFonts w:asciiTheme="majorHAnsi" w:eastAsia="Times New Roman" w:hAnsiTheme="majorHAnsi" w:cs="Times New Roman"/>
          <w:sz w:val="17"/>
          <w:szCs w:val="17"/>
          <w:lang w:val="en-US"/>
        </w:rPr>
        <w:tab/>
        <w:t xml:space="preserve">Wang Z, Dou M, Du X, Ma L, Sun P, Cao H, et al. Influences of ABO blood group, age and gender on plasma coagulation factor VIII, fibrinogen, von Willebrand factor and ADAMTS13 levels in a Chinese population. </w:t>
      </w:r>
      <w:r w:rsidRPr="00A930FC">
        <w:rPr>
          <w:rFonts w:asciiTheme="majorHAnsi" w:eastAsia="Times New Roman" w:hAnsiTheme="majorHAnsi" w:cs="Times New Roman"/>
          <w:sz w:val="17"/>
          <w:szCs w:val="17"/>
          <w:lang w:val="es-CO"/>
        </w:rPr>
        <w:t xml:space="preserve">PeerJ [Internet]. 2017 [citado 2018 Abr 03];5:e3156. </w:t>
      </w:r>
      <w:r w:rsidRPr="00A930FC">
        <w:rPr>
          <w:rFonts w:asciiTheme="majorHAnsi" w:eastAsia="Times New Roman" w:hAnsiTheme="majorHAnsi" w:cs="Times New Roman"/>
          <w:sz w:val="17"/>
          <w:szCs w:val="17"/>
        </w:rPr>
        <w:t>Disponible en: https://peerj.com/articles/3156/?utm_source=TrendMD&amp;utm_campaign=PeerJ_TrendMD_1&amp;utm_medium=TrendMD</w:t>
      </w:r>
    </w:p>
    <w:p w14:paraId="5D98D065"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55.</w:t>
      </w:r>
      <w:r w:rsidRPr="00A930FC">
        <w:rPr>
          <w:rFonts w:asciiTheme="majorHAnsi" w:eastAsia="Times New Roman" w:hAnsiTheme="majorHAnsi" w:cs="Times New Roman"/>
          <w:sz w:val="17"/>
          <w:szCs w:val="17"/>
          <w:lang w:val="en-US"/>
        </w:rPr>
        <w:tab/>
        <w:t xml:space="preserve">Johansson Å, Alfredsson J, Eriksson N, Wallentin L, Siegbahn A. Genome-Wide Association Study Identifies That the ABO Blood </w:t>
      </w:r>
      <w:r w:rsidRPr="00A930FC">
        <w:rPr>
          <w:rFonts w:asciiTheme="majorHAnsi" w:eastAsia="Times New Roman" w:hAnsiTheme="majorHAnsi" w:cs="Times New Roman"/>
          <w:sz w:val="17"/>
          <w:szCs w:val="17"/>
          <w:lang w:val="en-US"/>
        </w:rPr>
        <w:lastRenderedPageBreak/>
        <w:t xml:space="preserve">Group System Influences Interleukin-10 Levels and the Risk of Clinical Events in Patients with Acute Coronary Syndrome. </w:t>
      </w:r>
      <w:r w:rsidRPr="00A930FC">
        <w:rPr>
          <w:rFonts w:asciiTheme="majorHAnsi" w:eastAsia="Times New Roman" w:hAnsiTheme="majorHAnsi" w:cs="Times New Roman"/>
          <w:sz w:val="17"/>
          <w:szCs w:val="17"/>
        </w:rPr>
        <w:t>PLoS One [Internet]. 2015 [citado 2018 Mar 9];10(11):e0142518. Disponible en: https://www.ncbi.nlm.nih.gov/pmc/articles/PMC4658192/</w:t>
      </w:r>
    </w:p>
    <w:p w14:paraId="4A7F894F"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56.</w:t>
      </w:r>
      <w:r w:rsidRPr="00A930FC">
        <w:rPr>
          <w:rFonts w:asciiTheme="majorHAnsi" w:eastAsia="Times New Roman" w:hAnsiTheme="majorHAnsi" w:cs="Times New Roman"/>
          <w:sz w:val="17"/>
          <w:szCs w:val="17"/>
          <w:lang w:val="en-US"/>
        </w:rPr>
        <w:tab/>
        <w:t xml:space="preserve">Larson NB, Bell EJ, Decker PA, Pike M, Wassel CL, Tsai MY, et al. ABO blood group associations with markers of endothelial dysfunction in the Multi-Ethnic Study of Atherosclerosis. </w:t>
      </w:r>
      <w:r w:rsidRPr="00A930FC">
        <w:rPr>
          <w:rFonts w:asciiTheme="majorHAnsi" w:eastAsia="Times New Roman" w:hAnsiTheme="majorHAnsi" w:cs="Times New Roman"/>
          <w:sz w:val="17"/>
          <w:szCs w:val="17"/>
          <w:lang w:val="es-CO"/>
        </w:rPr>
        <w:t xml:space="preserve">Atherosclerosis [Internet]. 2016 Ago [citado 2018 Mar 15];251:422-9. </w:t>
      </w:r>
      <w:r w:rsidRPr="00A930FC">
        <w:rPr>
          <w:rFonts w:asciiTheme="majorHAnsi" w:eastAsia="Times New Roman" w:hAnsiTheme="majorHAnsi" w:cs="Times New Roman"/>
          <w:sz w:val="17"/>
          <w:szCs w:val="17"/>
        </w:rPr>
        <w:t>Disponible en: https://www.ncbi.nlm.nih.gov/pmc/articles/PMC4983247/</w:t>
      </w:r>
    </w:p>
    <w:p w14:paraId="19C374A4"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57.</w:t>
      </w:r>
      <w:r w:rsidRPr="00A930FC">
        <w:rPr>
          <w:rFonts w:asciiTheme="majorHAnsi" w:eastAsia="Times New Roman" w:hAnsiTheme="majorHAnsi" w:cs="Times New Roman"/>
          <w:sz w:val="17"/>
          <w:szCs w:val="17"/>
          <w:lang w:val="en-US"/>
        </w:rPr>
        <w:tab/>
        <w:t xml:space="preserve">Nagy EE, Varga-Fekete T, Puskas A, Kelemen P, Brassai Z, Szekeres-Csiki K, et al. High circulating osteoprotegerin levels are associated with non-zero blood groups. </w:t>
      </w:r>
      <w:r w:rsidRPr="00A930FC">
        <w:rPr>
          <w:rFonts w:asciiTheme="majorHAnsi" w:eastAsia="Times New Roman" w:hAnsiTheme="majorHAnsi" w:cs="Times New Roman"/>
          <w:sz w:val="17"/>
          <w:szCs w:val="17"/>
          <w:lang w:val="es-ES"/>
        </w:rPr>
        <w:t xml:space="preserve">BMC Cardiovasc Disord [Internet]. 2016 [Citado 2018 Mar 15];16(1):106. </w:t>
      </w:r>
      <w:r w:rsidRPr="00A930FC">
        <w:rPr>
          <w:rFonts w:asciiTheme="majorHAnsi" w:eastAsia="Times New Roman" w:hAnsiTheme="majorHAnsi" w:cs="Times New Roman"/>
          <w:sz w:val="17"/>
          <w:szCs w:val="17"/>
        </w:rPr>
        <w:t>Disponible en: https://www.ncbi.nlm.nih.gov/pmc/articles/PMC4937555/</w:t>
      </w:r>
    </w:p>
    <w:p w14:paraId="7A5E825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58.</w:t>
      </w:r>
      <w:r w:rsidRPr="00A930FC">
        <w:rPr>
          <w:rFonts w:asciiTheme="majorHAnsi" w:eastAsia="Times New Roman" w:hAnsiTheme="majorHAnsi" w:cs="Times New Roman"/>
          <w:sz w:val="17"/>
          <w:szCs w:val="17"/>
          <w:lang w:val="en-US"/>
        </w:rPr>
        <w:tab/>
        <w:t xml:space="preserve">Pike MM, Larson NB, Wassel CL, Cohoon KP, Tsai MY, Pankow JS, et al. ABO blood group is associated with peripheral arterial disease in African Americans: The Multi-Ethnic Study of Atherosclerosis (MESA). </w:t>
      </w:r>
      <w:r w:rsidRPr="00A930FC">
        <w:rPr>
          <w:rFonts w:asciiTheme="majorHAnsi" w:eastAsia="Times New Roman" w:hAnsiTheme="majorHAnsi" w:cs="Times New Roman"/>
          <w:sz w:val="17"/>
          <w:szCs w:val="17"/>
          <w:lang w:val="es-CO"/>
        </w:rPr>
        <w:t xml:space="preserve">Thromb Res [Internet]. 2017 May [citado 2018 Mar 16];153:1-6. </w:t>
      </w:r>
      <w:r w:rsidRPr="00A930FC">
        <w:rPr>
          <w:rFonts w:asciiTheme="majorHAnsi" w:eastAsia="Times New Roman" w:hAnsiTheme="majorHAnsi" w:cs="Times New Roman"/>
          <w:sz w:val="17"/>
          <w:szCs w:val="17"/>
        </w:rPr>
        <w:t>Disponible en: https://www.sciencedirect.com/science/article/pii/S0049384817300531</w:t>
      </w:r>
    </w:p>
    <w:p w14:paraId="16BBC18A"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rPr>
      </w:pPr>
      <w:r w:rsidRPr="00A930FC">
        <w:rPr>
          <w:rFonts w:asciiTheme="majorHAnsi" w:eastAsia="Times New Roman" w:hAnsiTheme="majorHAnsi" w:cs="Times New Roman"/>
          <w:sz w:val="17"/>
          <w:szCs w:val="17"/>
          <w:lang w:val="en-US"/>
        </w:rPr>
        <w:t>59.</w:t>
      </w:r>
      <w:r w:rsidRPr="00A930FC">
        <w:rPr>
          <w:rFonts w:asciiTheme="majorHAnsi" w:eastAsia="Times New Roman" w:hAnsiTheme="majorHAnsi" w:cs="Times New Roman"/>
          <w:sz w:val="17"/>
          <w:szCs w:val="17"/>
          <w:lang w:val="en-US"/>
        </w:rPr>
        <w:tab/>
        <w:t xml:space="preserve">Albánez S, Ogiwara K, Michels A, Hopman W, Grabell J, James P, et al. Aging and ABO blood type influence von Willebrand factor and factor VIII levels through interrelated mechanisms. </w:t>
      </w:r>
      <w:r w:rsidRPr="00A930FC">
        <w:rPr>
          <w:rFonts w:asciiTheme="majorHAnsi" w:eastAsia="Times New Roman" w:hAnsiTheme="majorHAnsi" w:cs="Times New Roman"/>
          <w:sz w:val="17"/>
          <w:szCs w:val="17"/>
          <w:lang w:val="es-CO"/>
        </w:rPr>
        <w:t xml:space="preserve">J Thromb Haemost [Internet]. 2016 May [citado 2018 Mar 16];14(5):953-63. </w:t>
      </w:r>
      <w:r w:rsidRPr="00A930FC">
        <w:rPr>
          <w:rFonts w:asciiTheme="majorHAnsi" w:eastAsia="Times New Roman" w:hAnsiTheme="majorHAnsi" w:cs="Times New Roman"/>
          <w:sz w:val="17"/>
          <w:szCs w:val="17"/>
        </w:rPr>
        <w:t>Disponible en: https://onlinelibrary.wiley.com/doi/abs/10.1111/jth.13294</w:t>
      </w:r>
    </w:p>
    <w:p w14:paraId="3BFC94F0" w14:textId="77777777" w:rsidR="00AB3F13" w:rsidRPr="00A930FC" w:rsidRDefault="00AB3F13" w:rsidP="00AB3F13">
      <w:pPr>
        <w:spacing w:after="0" w:line="240" w:lineRule="auto"/>
        <w:ind w:left="340" w:hanging="340"/>
        <w:jc w:val="both"/>
        <w:rPr>
          <w:rFonts w:asciiTheme="majorHAnsi" w:eastAsia="Times New Roman" w:hAnsiTheme="majorHAnsi" w:cs="Times New Roman"/>
          <w:sz w:val="17"/>
          <w:szCs w:val="17"/>
          <w:lang w:val="en-US"/>
        </w:rPr>
      </w:pPr>
      <w:r w:rsidRPr="00A930FC">
        <w:rPr>
          <w:rFonts w:asciiTheme="majorHAnsi" w:eastAsia="Times New Roman" w:hAnsiTheme="majorHAnsi" w:cs="Times New Roman"/>
          <w:sz w:val="17"/>
          <w:szCs w:val="17"/>
          <w:lang w:val="en-US"/>
        </w:rPr>
        <w:t>60.</w:t>
      </w:r>
      <w:r w:rsidRPr="00A930FC">
        <w:rPr>
          <w:rFonts w:asciiTheme="majorHAnsi" w:eastAsia="Times New Roman" w:hAnsiTheme="majorHAnsi" w:cs="Times New Roman"/>
          <w:sz w:val="17"/>
          <w:szCs w:val="17"/>
          <w:lang w:val="en-US"/>
        </w:rPr>
        <w:tab/>
        <w:t>Akin M, Balkan C, Karapinar DY, Kavakli K. The influence of the ABO blood type on the distribution of von Willebrand factor in healthy children with no bleeding symptoms. Clin Appl Thromb Hemost [Internet]. 2011 Sep [citado 2018 Jul 26];18(3):316-9. Disponible en: https://doi.org/10.1177/1076029611422364</w:t>
      </w:r>
    </w:p>
    <w:p w14:paraId="2B36B601" w14:textId="77777777" w:rsidR="00B452AA" w:rsidRDefault="00AB3F13" w:rsidP="00AB3F13">
      <w:pPr>
        <w:spacing w:after="0" w:line="240" w:lineRule="auto"/>
        <w:ind w:left="340" w:hanging="340"/>
        <w:jc w:val="both"/>
        <w:rPr>
          <w:rFonts w:asciiTheme="majorHAnsi" w:eastAsia="Times New Roman" w:hAnsiTheme="majorHAnsi" w:cs="Times New Roman"/>
          <w:sz w:val="17"/>
          <w:szCs w:val="17"/>
        </w:rPr>
        <w:sectPr w:rsidR="00B452AA" w:rsidSect="00623673">
          <w:headerReference w:type="default" r:id="rId12"/>
          <w:endnotePr>
            <w:numFmt w:val="decimal"/>
          </w:endnotePr>
          <w:type w:val="continuous"/>
          <w:pgSz w:w="12240" w:h="15840"/>
          <w:pgMar w:top="709" w:right="851" w:bottom="851" w:left="851" w:header="397" w:footer="227" w:gutter="0"/>
          <w:cols w:num="2" w:space="708"/>
          <w:docGrid w:linePitch="360"/>
        </w:sectPr>
      </w:pPr>
      <w:r w:rsidRPr="00A930FC">
        <w:rPr>
          <w:rFonts w:asciiTheme="majorHAnsi" w:eastAsia="Times New Roman" w:hAnsiTheme="majorHAnsi" w:cs="Times New Roman"/>
          <w:sz w:val="17"/>
          <w:szCs w:val="17"/>
          <w:lang w:val="en-US"/>
        </w:rPr>
        <w:t>61.</w:t>
      </w:r>
      <w:r w:rsidRPr="00A930FC">
        <w:rPr>
          <w:rFonts w:asciiTheme="majorHAnsi" w:eastAsia="Times New Roman" w:hAnsiTheme="majorHAnsi" w:cs="Times New Roman"/>
          <w:sz w:val="17"/>
          <w:szCs w:val="17"/>
          <w:lang w:val="en-US"/>
        </w:rPr>
        <w:tab/>
        <w:t xml:space="preserve">Shahidi M. Thrombosis and von Willebrand Factor. </w:t>
      </w:r>
      <w:r w:rsidRPr="00A930FC">
        <w:rPr>
          <w:rFonts w:asciiTheme="majorHAnsi" w:eastAsia="Times New Roman" w:hAnsiTheme="majorHAnsi" w:cs="Times New Roman"/>
          <w:sz w:val="17"/>
          <w:szCs w:val="17"/>
        </w:rPr>
        <w:t>Adv Exp Med Biol. 2017;906:285-306.</w:t>
      </w:r>
    </w:p>
    <w:p w14:paraId="3FBC9809" w14:textId="4F3123C9" w:rsidR="00FD09FB" w:rsidRPr="00D202BE" w:rsidRDefault="00FD09FB" w:rsidP="00AB3F13">
      <w:pPr>
        <w:spacing w:after="0" w:line="240" w:lineRule="auto"/>
        <w:ind w:left="340" w:hanging="340"/>
        <w:jc w:val="both"/>
        <w:rPr>
          <w:rFonts w:asciiTheme="majorHAnsi" w:eastAsia="Times New Roman" w:hAnsiTheme="majorHAnsi" w:cs="Times New Roman"/>
          <w:sz w:val="18"/>
          <w:szCs w:val="18"/>
        </w:rPr>
      </w:pPr>
    </w:p>
    <w:sectPr w:rsidR="00FD09FB" w:rsidRPr="00D202BE" w:rsidSect="00EB29C0">
      <w:endnotePr>
        <w:numFmt w:val="decimal"/>
      </w:endnotePr>
      <w:type w:val="continuous"/>
      <w:pgSz w:w="12240" w:h="15840"/>
      <w:pgMar w:top="1134" w:right="851" w:bottom="1134"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C0A66" w14:textId="77777777" w:rsidR="00960EE5" w:rsidRDefault="00960EE5" w:rsidP="00466188">
      <w:pPr>
        <w:spacing w:after="0" w:line="240" w:lineRule="auto"/>
      </w:pPr>
      <w:r>
        <w:separator/>
      </w:r>
    </w:p>
  </w:endnote>
  <w:endnote w:type="continuationSeparator" w:id="0">
    <w:p w14:paraId="6518838A" w14:textId="77777777" w:rsidR="00960EE5" w:rsidRDefault="00960EE5"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674805439"/>
      <w:docPartObj>
        <w:docPartGallery w:val="Page Numbers (Bottom of Page)"/>
        <w:docPartUnique/>
      </w:docPartObj>
    </w:sdtPr>
    <w:sdtEndPr>
      <w:rPr>
        <w:sz w:val="20"/>
        <w:szCs w:val="20"/>
      </w:rPr>
    </w:sdtEndPr>
    <w:sdtContent>
      <w:p w14:paraId="315F7165" w14:textId="118628D3" w:rsidR="008F1AC6" w:rsidRPr="001F39CD" w:rsidRDefault="008F1AC6">
        <w:pPr>
          <w:pStyle w:val="Piedepgina"/>
          <w:jc w:val="center"/>
          <w:rPr>
            <w:sz w:val="20"/>
            <w:szCs w:val="20"/>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623673" w:rsidRPr="00623673">
          <w:rPr>
            <w:noProof/>
            <w:color w:val="595959" w:themeColor="text1" w:themeTint="A6"/>
            <w:sz w:val="20"/>
            <w:szCs w:val="20"/>
            <w:lang w:val="es-ES"/>
          </w:rPr>
          <w:t>278</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358DF6B9" w14:textId="77777777" w:rsidR="008F1AC6" w:rsidRDefault="008F1A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2036027045"/>
      <w:docPartObj>
        <w:docPartGallery w:val="Page Numbers (Bottom of Page)"/>
        <w:docPartUnique/>
      </w:docPartObj>
    </w:sdtPr>
    <w:sdtEndPr/>
    <w:sdtContent>
      <w:p w14:paraId="64D19E19" w14:textId="7F343BE8" w:rsidR="008F1AC6" w:rsidRPr="00ED6E82" w:rsidRDefault="008F1AC6">
        <w:pPr>
          <w:pStyle w:val="Piedepgina"/>
          <w:jc w:val="center"/>
          <w:rPr>
            <w:color w:val="595959" w:themeColor="text1" w:themeTint="A6"/>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623673" w:rsidRPr="00623673">
          <w:rPr>
            <w:noProof/>
            <w:color w:val="595959" w:themeColor="text1" w:themeTint="A6"/>
            <w:sz w:val="20"/>
            <w:szCs w:val="20"/>
            <w:lang w:val="es-ES"/>
          </w:rPr>
          <w:t>277</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58AB085C" w14:textId="77777777" w:rsidR="008F1AC6" w:rsidRPr="00FD343E" w:rsidRDefault="008F1AC6">
    <w:pPr>
      <w:pStyle w:val="Piedepgina"/>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13BE3" w14:textId="77777777" w:rsidR="00960EE5" w:rsidRDefault="00960EE5" w:rsidP="00466188">
      <w:pPr>
        <w:spacing w:after="0" w:line="240" w:lineRule="auto"/>
      </w:pPr>
      <w:r>
        <w:separator/>
      </w:r>
    </w:p>
  </w:footnote>
  <w:footnote w:type="continuationSeparator" w:id="0">
    <w:p w14:paraId="69496633" w14:textId="77777777" w:rsidR="00960EE5" w:rsidRDefault="00960EE5"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172277DD" w:rsidR="008F1AC6" w:rsidRPr="001F39CD" w:rsidRDefault="008F1AC6" w:rsidP="00ED6E82">
    <w:pPr>
      <w:pStyle w:val="Encabezado"/>
      <w:jc w:val="center"/>
      <w:rPr>
        <w:rFonts w:asciiTheme="majorHAnsi" w:hAnsiTheme="majorHAnsi"/>
        <w:i/>
        <w:color w:val="595959" w:themeColor="text1" w:themeTint="A6"/>
        <w:sz w:val="20"/>
        <w:szCs w:val="20"/>
      </w:rPr>
    </w:pPr>
    <w:r w:rsidRPr="001F39CD">
      <w:rPr>
        <w:rFonts w:asciiTheme="majorHAnsi" w:hAnsiTheme="majorHAnsi"/>
        <w:i/>
        <w:color w:val="595959" w:themeColor="text1" w:themeTint="A6"/>
        <w:sz w:val="15"/>
        <w:szCs w:val="15"/>
      </w:rPr>
      <w:t>Trujillo-Trejos I, et al. Univ. Salud. 21(2):00-00, 2019 (May - Ago)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13C647AD" w:rsidR="008F1AC6" w:rsidRPr="00FD343E" w:rsidRDefault="00AB3F13" w:rsidP="00ED6E82">
    <w:pPr>
      <w:pStyle w:val="Encabezado"/>
      <w:jc w:val="center"/>
      <w:rPr>
        <w:rFonts w:asciiTheme="majorHAnsi" w:hAnsiTheme="majorHAnsi"/>
        <w:i/>
        <w:color w:val="595959" w:themeColor="text1" w:themeTint="A6"/>
        <w:sz w:val="20"/>
        <w:szCs w:val="20"/>
      </w:rPr>
    </w:pPr>
    <w:r w:rsidRPr="00AB3F13">
      <w:rPr>
        <w:rFonts w:asciiTheme="majorHAnsi" w:hAnsiTheme="majorHAnsi"/>
        <w:i/>
        <w:color w:val="595959" w:themeColor="text1" w:themeTint="A6"/>
        <w:sz w:val="15"/>
        <w:szCs w:val="15"/>
      </w:rPr>
      <w:t>Márquez-Benítez</w:t>
    </w:r>
    <w:r>
      <w:rPr>
        <w:rFonts w:asciiTheme="majorHAnsi" w:hAnsiTheme="majorHAnsi"/>
        <w:i/>
        <w:color w:val="595959" w:themeColor="text1" w:themeTint="A6"/>
        <w:sz w:val="15"/>
        <w:szCs w:val="15"/>
      </w:rPr>
      <w:t xml:space="preserve"> Y</w:t>
    </w:r>
    <w:r w:rsidR="008F1AC6" w:rsidRPr="00FD343E">
      <w:rPr>
        <w:rFonts w:asciiTheme="majorHAnsi" w:hAnsiTheme="majorHAnsi"/>
        <w:i/>
        <w:color w:val="595959" w:themeColor="text1" w:themeTint="A6"/>
        <w:sz w:val="15"/>
        <w:szCs w:val="15"/>
      </w:rPr>
      <w:t>, et al. Univ. Salud. 21(</w:t>
    </w:r>
    <w:r w:rsidR="00FD343E" w:rsidRPr="00FD343E">
      <w:rPr>
        <w:rFonts w:asciiTheme="majorHAnsi" w:hAnsiTheme="majorHAnsi"/>
        <w:i/>
        <w:color w:val="595959" w:themeColor="text1" w:themeTint="A6"/>
        <w:sz w:val="15"/>
        <w:szCs w:val="15"/>
      </w:rPr>
      <w:t>3</w:t>
    </w:r>
    <w:r w:rsidR="008F1AC6" w:rsidRPr="00FD343E">
      <w:rPr>
        <w:rFonts w:asciiTheme="majorHAnsi" w:hAnsiTheme="majorHAnsi"/>
        <w:i/>
        <w:color w:val="595959" w:themeColor="text1" w:themeTint="A6"/>
        <w:sz w:val="15"/>
        <w:szCs w:val="15"/>
      </w:rPr>
      <w:t>):</w:t>
    </w:r>
    <w:r w:rsidR="00A930FC">
      <w:rPr>
        <w:rFonts w:asciiTheme="majorHAnsi" w:hAnsiTheme="majorHAnsi"/>
        <w:i/>
        <w:color w:val="595959" w:themeColor="text1" w:themeTint="A6"/>
        <w:sz w:val="15"/>
        <w:szCs w:val="15"/>
      </w:rPr>
      <w:t>277</w:t>
    </w:r>
    <w:r w:rsidR="008F1AC6" w:rsidRPr="00FD343E">
      <w:rPr>
        <w:rFonts w:asciiTheme="majorHAnsi" w:hAnsiTheme="majorHAnsi"/>
        <w:i/>
        <w:color w:val="595959" w:themeColor="text1" w:themeTint="A6"/>
        <w:sz w:val="15"/>
        <w:szCs w:val="15"/>
      </w:rPr>
      <w:t>-</w:t>
    </w:r>
    <w:r w:rsidR="00A930FC">
      <w:rPr>
        <w:rFonts w:asciiTheme="majorHAnsi" w:hAnsiTheme="majorHAnsi"/>
        <w:i/>
        <w:color w:val="595959" w:themeColor="text1" w:themeTint="A6"/>
        <w:sz w:val="15"/>
        <w:szCs w:val="15"/>
      </w:rPr>
      <w:t>287</w:t>
    </w:r>
    <w:r w:rsidR="008F1AC6" w:rsidRPr="00FD343E">
      <w:rPr>
        <w:rFonts w:asciiTheme="majorHAnsi" w:hAnsiTheme="majorHAnsi"/>
        <w:i/>
        <w:color w:val="595959" w:themeColor="text1" w:themeTint="A6"/>
        <w:sz w:val="15"/>
        <w:szCs w:val="15"/>
      </w:rPr>
      <w:t xml:space="preserve">, 2019 </w:t>
    </w:r>
    <w:r>
      <w:rPr>
        <w:rFonts w:asciiTheme="majorHAnsi" w:hAnsiTheme="majorHAnsi"/>
        <w:i/>
        <w:color w:val="595959" w:themeColor="text1" w:themeTint="A6"/>
        <w:sz w:val="15"/>
        <w:szCs w:val="15"/>
      </w:rPr>
      <w:t>(</w:t>
    </w:r>
    <w:r w:rsidR="00FD343E" w:rsidRPr="00FD343E">
      <w:rPr>
        <w:rFonts w:asciiTheme="majorHAnsi" w:hAnsiTheme="majorHAnsi"/>
        <w:i/>
        <w:color w:val="595959" w:themeColor="text1" w:themeTint="A6"/>
        <w:sz w:val="15"/>
        <w:szCs w:val="15"/>
      </w:rPr>
      <w:t>Sept</w:t>
    </w:r>
    <w:r w:rsidR="008F1AC6" w:rsidRPr="00FD343E">
      <w:rPr>
        <w:rFonts w:asciiTheme="majorHAnsi" w:hAnsiTheme="majorHAnsi"/>
        <w:i/>
        <w:color w:val="595959" w:themeColor="text1" w:themeTint="A6"/>
        <w:sz w:val="15"/>
        <w:szCs w:val="15"/>
      </w:rPr>
      <w:t xml:space="preserve"> - </w:t>
    </w:r>
    <w:r w:rsidR="00FD343E" w:rsidRPr="00FD343E">
      <w:rPr>
        <w:rFonts w:asciiTheme="majorHAnsi" w:hAnsiTheme="majorHAnsi"/>
        <w:i/>
        <w:color w:val="595959" w:themeColor="text1" w:themeTint="A6"/>
        <w:sz w:val="15"/>
        <w:szCs w:val="15"/>
      </w:rPr>
      <w:t>Dic</w:t>
    </w:r>
    <w:r w:rsidR="008F1AC6" w:rsidRPr="00FD343E">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213A6622"/>
    <w:multiLevelType w:val="hybridMultilevel"/>
    <w:tmpl w:val="704481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0D64F0"/>
    <w:multiLevelType w:val="hybridMultilevel"/>
    <w:tmpl w:val="4CAA86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0">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6"/>
  </w:num>
  <w:num w:numId="3">
    <w:abstractNumId w:val="4"/>
  </w:num>
  <w:num w:numId="4">
    <w:abstractNumId w:val="11"/>
  </w:num>
  <w:num w:numId="5">
    <w:abstractNumId w:val="8"/>
  </w:num>
  <w:num w:numId="6">
    <w:abstractNumId w:val="17"/>
  </w:num>
  <w:num w:numId="7">
    <w:abstractNumId w:val="1"/>
  </w:num>
  <w:num w:numId="8">
    <w:abstractNumId w:val="0"/>
  </w:num>
  <w:num w:numId="9">
    <w:abstractNumId w:val="20"/>
  </w:num>
  <w:num w:numId="10">
    <w:abstractNumId w:val="9"/>
  </w:num>
  <w:num w:numId="11">
    <w:abstractNumId w:val="19"/>
  </w:num>
  <w:num w:numId="12">
    <w:abstractNumId w:val="7"/>
  </w:num>
  <w:num w:numId="13">
    <w:abstractNumId w:val="13"/>
  </w:num>
  <w:num w:numId="14">
    <w:abstractNumId w:val="10"/>
  </w:num>
  <w:num w:numId="15">
    <w:abstractNumId w:val="2"/>
  </w:num>
  <w:num w:numId="16">
    <w:abstractNumId w:val="14"/>
  </w:num>
  <w:num w:numId="17">
    <w:abstractNumId w:val="6"/>
  </w:num>
  <w:num w:numId="18">
    <w:abstractNumId w:val="12"/>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0"/>
  <w:activeWritingStyle w:appName="MSWord" w:lang="en-US" w:vendorID="64" w:dllVersion="131078" w:nlCheck="1" w:checkStyle="0"/>
  <w:activeWritingStyle w:appName="MSWord" w:lang="en-029" w:vendorID="64" w:dllVersion="131078" w:nlCheck="1" w:checkStyle="0"/>
  <w:activeWritingStyle w:appName="MSWord" w:lang="es-CO" w:vendorID="64" w:dllVersion="131078" w:nlCheck="1" w:checkStyle="0"/>
  <w:activeWritingStyle w:appName="MSWord" w:lang="es-ES_tradnl" w:vendorID="64" w:dllVersion="131078" w:nlCheck="1" w:checkStyle="1"/>
  <w:activeWritingStyle w:appName="MSWord" w:lang="es-E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3308"/>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D39"/>
    <w:rsid w:val="0005143B"/>
    <w:rsid w:val="00051D86"/>
    <w:rsid w:val="000527BE"/>
    <w:rsid w:val="0005414B"/>
    <w:rsid w:val="0006767D"/>
    <w:rsid w:val="00072A7E"/>
    <w:rsid w:val="00073D6D"/>
    <w:rsid w:val="0007470D"/>
    <w:rsid w:val="00074B1E"/>
    <w:rsid w:val="00081333"/>
    <w:rsid w:val="00083333"/>
    <w:rsid w:val="000836D0"/>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B3DFC"/>
    <w:rsid w:val="000B6D49"/>
    <w:rsid w:val="000B6F1C"/>
    <w:rsid w:val="000B7004"/>
    <w:rsid w:val="000B726B"/>
    <w:rsid w:val="000C00FD"/>
    <w:rsid w:val="000C6F94"/>
    <w:rsid w:val="000D7356"/>
    <w:rsid w:val="000E148D"/>
    <w:rsid w:val="000E1713"/>
    <w:rsid w:val="000E201E"/>
    <w:rsid w:val="000E4313"/>
    <w:rsid w:val="000E4AD9"/>
    <w:rsid w:val="000F1FE5"/>
    <w:rsid w:val="000F2407"/>
    <w:rsid w:val="000F4C39"/>
    <w:rsid w:val="000F7879"/>
    <w:rsid w:val="00100453"/>
    <w:rsid w:val="0010167C"/>
    <w:rsid w:val="001023FB"/>
    <w:rsid w:val="00102A25"/>
    <w:rsid w:val="00103B26"/>
    <w:rsid w:val="00104E6B"/>
    <w:rsid w:val="0011076B"/>
    <w:rsid w:val="00110BFF"/>
    <w:rsid w:val="001114AE"/>
    <w:rsid w:val="00117305"/>
    <w:rsid w:val="00121393"/>
    <w:rsid w:val="00121902"/>
    <w:rsid w:val="001219A0"/>
    <w:rsid w:val="001223B3"/>
    <w:rsid w:val="00124A8F"/>
    <w:rsid w:val="001252C0"/>
    <w:rsid w:val="001277FD"/>
    <w:rsid w:val="00130E4D"/>
    <w:rsid w:val="0013157C"/>
    <w:rsid w:val="00132A3B"/>
    <w:rsid w:val="00133FCD"/>
    <w:rsid w:val="00137B00"/>
    <w:rsid w:val="00141A77"/>
    <w:rsid w:val="00142E92"/>
    <w:rsid w:val="00151AF7"/>
    <w:rsid w:val="00153F9B"/>
    <w:rsid w:val="00154642"/>
    <w:rsid w:val="001555C9"/>
    <w:rsid w:val="00156B62"/>
    <w:rsid w:val="00157A64"/>
    <w:rsid w:val="00157DFF"/>
    <w:rsid w:val="00161581"/>
    <w:rsid w:val="00161F37"/>
    <w:rsid w:val="00162438"/>
    <w:rsid w:val="00164AAA"/>
    <w:rsid w:val="00174C49"/>
    <w:rsid w:val="00177335"/>
    <w:rsid w:val="00177531"/>
    <w:rsid w:val="00180908"/>
    <w:rsid w:val="00193399"/>
    <w:rsid w:val="00197C1F"/>
    <w:rsid w:val="001A0CD2"/>
    <w:rsid w:val="001A0E31"/>
    <w:rsid w:val="001A4355"/>
    <w:rsid w:val="001A4B17"/>
    <w:rsid w:val="001A65B3"/>
    <w:rsid w:val="001A7B04"/>
    <w:rsid w:val="001A7BD4"/>
    <w:rsid w:val="001A7CBD"/>
    <w:rsid w:val="001B50DE"/>
    <w:rsid w:val="001B6F6B"/>
    <w:rsid w:val="001B792B"/>
    <w:rsid w:val="001B7A81"/>
    <w:rsid w:val="001B7E8F"/>
    <w:rsid w:val="001C0454"/>
    <w:rsid w:val="001C13D8"/>
    <w:rsid w:val="001C2322"/>
    <w:rsid w:val="001C24DF"/>
    <w:rsid w:val="001C26C9"/>
    <w:rsid w:val="001C315A"/>
    <w:rsid w:val="001C33DF"/>
    <w:rsid w:val="001C3613"/>
    <w:rsid w:val="001C5D78"/>
    <w:rsid w:val="001C6893"/>
    <w:rsid w:val="001C69F5"/>
    <w:rsid w:val="001C6D7D"/>
    <w:rsid w:val="001D26D8"/>
    <w:rsid w:val="001D41D5"/>
    <w:rsid w:val="001D5EAC"/>
    <w:rsid w:val="001D6B72"/>
    <w:rsid w:val="001E2224"/>
    <w:rsid w:val="001E3E16"/>
    <w:rsid w:val="001E6EA1"/>
    <w:rsid w:val="001F04A6"/>
    <w:rsid w:val="001F065A"/>
    <w:rsid w:val="001F10C7"/>
    <w:rsid w:val="001F2DAA"/>
    <w:rsid w:val="001F39CD"/>
    <w:rsid w:val="001F4C44"/>
    <w:rsid w:val="001F5A09"/>
    <w:rsid w:val="00204C63"/>
    <w:rsid w:val="00206700"/>
    <w:rsid w:val="00215316"/>
    <w:rsid w:val="00232118"/>
    <w:rsid w:val="002416BD"/>
    <w:rsid w:val="002458C6"/>
    <w:rsid w:val="002475ED"/>
    <w:rsid w:val="00247719"/>
    <w:rsid w:val="00251A9C"/>
    <w:rsid w:val="00251F53"/>
    <w:rsid w:val="00255586"/>
    <w:rsid w:val="00257CDB"/>
    <w:rsid w:val="0026302D"/>
    <w:rsid w:val="00267F70"/>
    <w:rsid w:val="0027242B"/>
    <w:rsid w:val="0027284F"/>
    <w:rsid w:val="00272C66"/>
    <w:rsid w:val="00272FBE"/>
    <w:rsid w:val="0027330F"/>
    <w:rsid w:val="00273438"/>
    <w:rsid w:val="002745A6"/>
    <w:rsid w:val="0027507A"/>
    <w:rsid w:val="00283CD8"/>
    <w:rsid w:val="00285CA7"/>
    <w:rsid w:val="002878F1"/>
    <w:rsid w:val="00294E27"/>
    <w:rsid w:val="002A335A"/>
    <w:rsid w:val="002A350C"/>
    <w:rsid w:val="002A4878"/>
    <w:rsid w:val="002B192D"/>
    <w:rsid w:val="002B3A2B"/>
    <w:rsid w:val="002B4B10"/>
    <w:rsid w:val="002B5218"/>
    <w:rsid w:val="002B56F3"/>
    <w:rsid w:val="002B58DF"/>
    <w:rsid w:val="002B69A4"/>
    <w:rsid w:val="002C2B9C"/>
    <w:rsid w:val="002D1146"/>
    <w:rsid w:val="002D1A64"/>
    <w:rsid w:val="002D24C0"/>
    <w:rsid w:val="002D4B7A"/>
    <w:rsid w:val="002D6D01"/>
    <w:rsid w:val="002E1DE6"/>
    <w:rsid w:val="002E24B6"/>
    <w:rsid w:val="002E2B36"/>
    <w:rsid w:val="002E3B5F"/>
    <w:rsid w:val="002E5DAF"/>
    <w:rsid w:val="002F3F4C"/>
    <w:rsid w:val="002F7541"/>
    <w:rsid w:val="00302FD2"/>
    <w:rsid w:val="0030489C"/>
    <w:rsid w:val="0030649C"/>
    <w:rsid w:val="00307B53"/>
    <w:rsid w:val="00307C94"/>
    <w:rsid w:val="003127F2"/>
    <w:rsid w:val="00315130"/>
    <w:rsid w:val="003205EF"/>
    <w:rsid w:val="00322C93"/>
    <w:rsid w:val="00325F6E"/>
    <w:rsid w:val="00326CD5"/>
    <w:rsid w:val="00331825"/>
    <w:rsid w:val="00331E22"/>
    <w:rsid w:val="00333DF1"/>
    <w:rsid w:val="00340D2C"/>
    <w:rsid w:val="00341823"/>
    <w:rsid w:val="00342225"/>
    <w:rsid w:val="0035084D"/>
    <w:rsid w:val="003536A2"/>
    <w:rsid w:val="003551DF"/>
    <w:rsid w:val="00356722"/>
    <w:rsid w:val="00362FA6"/>
    <w:rsid w:val="0036344E"/>
    <w:rsid w:val="00365B24"/>
    <w:rsid w:val="003672BE"/>
    <w:rsid w:val="00372AF6"/>
    <w:rsid w:val="00380540"/>
    <w:rsid w:val="00381D23"/>
    <w:rsid w:val="00382680"/>
    <w:rsid w:val="00383DB2"/>
    <w:rsid w:val="00385C70"/>
    <w:rsid w:val="003871CE"/>
    <w:rsid w:val="00387665"/>
    <w:rsid w:val="0039305F"/>
    <w:rsid w:val="003930F6"/>
    <w:rsid w:val="00394A0A"/>
    <w:rsid w:val="003961A2"/>
    <w:rsid w:val="003A0036"/>
    <w:rsid w:val="003A0BA5"/>
    <w:rsid w:val="003A1D0B"/>
    <w:rsid w:val="003A1EB3"/>
    <w:rsid w:val="003A4F6A"/>
    <w:rsid w:val="003A62E5"/>
    <w:rsid w:val="003A6783"/>
    <w:rsid w:val="003B3A67"/>
    <w:rsid w:val="003B4D35"/>
    <w:rsid w:val="003B5DDB"/>
    <w:rsid w:val="003D4518"/>
    <w:rsid w:val="003D6B72"/>
    <w:rsid w:val="003D7BBC"/>
    <w:rsid w:val="003E13D3"/>
    <w:rsid w:val="003E151D"/>
    <w:rsid w:val="003E2489"/>
    <w:rsid w:val="003E5BA3"/>
    <w:rsid w:val="003E7FC5"/>
    <w:rsid w:val="003F06B8"/>
    <w:rsid w:val="003F46BF"/>
    <w:rsid w:val="003F6A1B"/>
    <w:rsid w:val="00400F7B"/>
    <w:rsid w:val="00401874"/>
    <w:rsid w:val="00402497"/>
    <w:rsid w:val="00402564"/>
    <w:rsid w:val="00402752"/>
    <w:rsid w:val="00404AF5"/>
    <w:rsid w:val="00415064"/>
    <w:rsid w:val="00421E71"/>
    <w:rsid w:val="00422155"/>
    <w:rsid w:val="004226D0"/>
    <w:rsid w:val="0042429F"/>
    <w:rsid w:val="0042607F"/>
    <w:rsid w:val="00431D89"/>
    <w:rsid w:val="00432208"/>
    <w:rsid w:val="004322E7"/>
    <w:rsid w:val="004325D8"/>
    <w:rsid w:val="00432833"/>
    <w:rsid w:val="00440AB3"/>
    <w:rsid w:val="00441CBE"/>
    <w:rsid w:val="00446117"/>
    <w:rsid w:val="00446768"/>
    <w:rsid w:val="00447783"/>
    <w:rsid w:val="004518A4"/>
    <w:rsid w:val="004544D1"/>
    <w:rsid w:val="004569FF"/>
    <w:rsid w:val="0045726E"/>
    <w:rsid w:val="00457ECB"/>
    <w:rsid w:val="004637EE"/>
    <w:rsid w:val="00465B7A"/>
    <w:rsid w:val="00466188"/>
    <w:rsid w:val="0047204D"/>
    <w:rsid w:val="004751A9"/>
    <w:rsid w:val="00476740"/>
    <w:rsid w:val="004776B3"/>
    <w:rsid w:val="00484A3C"/>
    <w:rsid w:val="00486448"/>
    <w:rsid w:val="004910E0"/>
    <w:rsid w:val="004A04A2"/>
    <w:rsid w:val="004A0A0A"/>
    <w:rsid w:val="004A389C"/>
    <w:rsid w:val="004A5CF7"/>
    <w:rsid w:val="004A647B"/>
    <w:rsid w:val="004B19EA"/>
    <w:rsid w:val="004B606D"/>
    <w:rsid w:val="004B66A1"/>
    <w:rsid w:val="004B7E3D"/>
    <w:rsid w:val="004C4295"/>
    <w:rsid w:val="004C4876"/>
    <w:rsid w:val="004C6770"/>
    <w:rsid w:val="004D1C23"/>
    <w:rsid w:val="004E1C1D"/>
    <w:rsid w:val="004E34C5"/>
    <w:rsid w:val="004E4D18"/>
    <w:rsid w:val="004E516F"/>
    <w:rsid w:val="004E554E"/>
    <w:rsid w:val="004E6331"/>
    <w:rsid w:val="004E63EB"/>
    <w:rsid w:val="004E7FA5"/>
    <w:rsid w:val="004F3C21"/>
    <w:rsid w:val="004F74AC"/>
    <w:rsid w:val="005000C5"/>
    <w:rsid w:val="0050069A"/>
    <w:rsid w:val="00502FE9"/>
    <w:rsid w:val="00506D37"/>
    <w:rsid w:val="00510BDC"/>
    <w:rsid w:val="0051371D"/>
    <w:rsid w:val="00514FAF"/>
    <w:rsid w:val="0051680E"/>
    <w:rsid w:val="0052386A"/>
    <w:rsid w:val="00531952"/>
    <w:rsid w:val="00537EB7"/>
    <w:rsid w:val="005544AC"/>
    <w:rsid w:val="005636B1"/>
    <w:rsid w:val="00563907"/>
    <w:rsid w:val="00563A2C"/>
    <w:rsid w:val="00571698"/>
    <w:rsid w:val="005819EF"/>
    <w:rsid w:val="00583651"/>
    <w:rsid w:val="00583A6B"/>
    <w:rsid w:val="005853AF"/>
    <w:rsid w:val="00587CE5"/>
    <w:rsid w:val="00592535"/>
    <w:rsid w:val="00593501"/>
    <w:rsid w:val="005961FA"/>
    <w:rsid w:val="005A0A5E"/>
    <w:rsid w:val="005A0E3B"/>
    <w:rsid w:val="005A26CA"/>
    <w:rsid w:val="005A2C1A"/>
    <w:rsid w:val="005A4B7F"/>
    <w:rsid w:val="005B06AF"/>
    <w:rsid w:val="005B0F6F"/>
    <w:rsid w:val="005B4155"/>
    <w:rsid w:val="005B572A"/>
    <w:rsid w:val="005B6BB6"/>
    <w:rsid w:val="005B7593"/>
    <w:rsid w:val="005C2BEB"/>
    <w:rsid w:val="005C2D4B"/>
    <w:rsid w:val="005C5836"/>
    <w:rsid w:val="005C5C81"/>
    <w:rsid w:val="005C659C"/>
    <w:rsid w:val="005D08F5"/>
    <w:rsid w:val="005D1E10"/>
    <w:rsid w:val="005E0FB0"/>
    <w:rsid w:val="005E2DEB"/>
    <w:rsid w:val="005E543B"/>
    <w:rsid w:val="005E72A7"/>
    <w:rsid w:val="005F11C3"/>
    <w:rsid w:val="005F4AEB"/>
    <w:rsid w:val="005F5718"/>
    <w:rsid w:val="005F6256"/>
    <w:rsid w:val="00602BC0"/>
    <w:rsid w:val="00603EB2"/>
    <w:rsid w:val="0061214C"/>
    <w:rsid w:val="0061566B"/>
    <w:rsid w:val="0061644A"/>
    <w:rsid w:val="0061759C"/>
    <w:rsid w:val="00623673"/>
    <w:rsid w:val="006247E5"/>
    <w:rsid w:val="006256A1"/>
    <w:rsid w:val="00625AF0"/>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CB1"/>
    <w:rsid w:val="00673E02"/>
    <w:rsid w:val="006742BB"/>
    <w:rsid w:val="006765BA"/>
    <w:rsid w:val="00677125"/>
    <w:rsid w:val="00682883"/>
    <w:rsid w:val="00683D23"/>
    <w:rsid w:val="00686821"/>
    <w:rsid w:val="00693411"/>
    <w:rsid w:val="00693B76"/>
    <w:rsid w:val="00695F22"/>
    <w:rsid w:val="00696672"/>
    <w:rsid w:val="00696C42"/>
    <w:rsid w:val="006A0A76"/>
    <w:rsid w:val="006A58AC"/>
    <w:rsid w:val="006A6B0A"/>
    <w:rsid w:val="006B0FFC"/>
    <w:rsid w:val="006B2A85"/>
    <w:rsid w:val="006B3C87"/>
    <w:rsid w:val="006B56C8"/>
    <w:rsid w:val="006B75A2"/>
    <w:rsid w:val="006B7C38"/>
    <w:rsid w:val="006C2EC7"/>
    <w:rsid w:val="006C36C2"/>
    <w:rsid w:val="006D1799"/>
    <w:rsid w:val="006D2945"/>
    <w:rsid w:val="006D2A43"/>
    <w:rsid w:val="006D3971"/>
    <w:rsid w:val="006D3A0A"/>
    <w:rsid w:val="006D4FD5"/>
    <w:rsid w:val="006D57C3"/>
    <w:rsid w:val="006D6177"/>
    <w:rsid w:val="006E07AF"/>
    <w:rsid w:val="006E095A"/>
    <w:rsid w:val="006E324F"/>
    <w:rsid w:val="006E7D15"/>
    <w:rsid w:val="006F09F0"/>
    <w:rsid w:val="006F1FB9"/>
    <w:rsid w:val="006F2CC5"/>
    <w:rsid w:val="006F70CD"/>
    <w:rsid w:val="006F7472"/>
    <w:rsid w:val="0070304A"/>
    <w:rsid w:val="00707899"/>
    <w:rsid w:val="00710CAF"/>
    <w:rsid w:val="0071570C"/>
    <w:rsid w:val="00721852"/>
    <w:rsid w:val="00722046"/>
    <w:rsid w:val="00727C57"/>
    <w:rsid w:val="00733A45"/>
    <w:rsid w:val="00736CAE"/>
    <w:rsid w:val="007373A4"/>
    <w:rsid w:val="007411E3"/>
    <w:rsid w:val="007428D5"/>
    <w:rsid w:val="00742CAA"/>
    <w:rsid w:val="00744BFD"/>
    <w:rsid w:val="007467C6"/>
    <w:rsid w:val="007472F7"/>
    <w:rsid w:val="00750157"/>
    <w:rsid w:val="00755AEA"/>
    <w:rsid w:val="00756298"/>
    <w:rsid w:val="007703DA"/>
    <w:rsid w:val="007732D9"/>
    <w:rsid w:val="0077590A"/>
    <w:rsid w:val="00775BE4"/>
    <w:rsid w:val="0077656B"/>
    <w:rsid w:val="00776877"/>
    <w:rsid w:val="00776C9A"/>
    <w:rsid w:val="00780442"/>
    <w:rsid w:val="007805EC"/>
    <w:rsid w:val="007817D0"/>
    <w:rsid w:val="00781940"/>
    <w:rsid w:val="00782E69"/>
    <w:rsid w:val="007841DC"/>
    <w:rsid w:val="00792D37"/>
    <w:rsid w:val="00792EF2"/>
    <w:rsid w:val="007948C0"/>
    <w:rsid w:val="00795463"/>
    <w:rsid w:val="007A021E"/>
    <w:rsid w:val="007A133D"/>
    <w:rsid w:val="007A591C"/>
    <w:rsid w:val="007A5CD9"/>
    <w:rsid w:val="007A7B0A"/>
    <w:rsid w:val="007B0AE5"/>
    <w:rsid w:val="007B2A6E"/>
    <w:rsid w:val="007B326C"/>
    <w:rsid w:val="007B5561"/>
    <w:rsid w:val="007B6A1F"/>
    <w:rsid w:val="007B7153"/>
    <w:rsid w:val="007B74C0"/>
    <w:rsid w:val="007C0C7D"/>
    <w:rsid w:val="007C0DBF"/>
    <w:rsid w:val="007C4362"/>
    <w:rsid w:val="007C47CF"/>
    <w:rsid w:val="007C5717"/>
    <w:rsid w:val="007C5F19"/>
    <w:rsid w:val="007C67F6"/>
    <w:rsid w:val="007C7337"/>
    <w:rsid w:val="007D1884"/>
    <w:rsid w:val="007D2AE5"/>
    <w:rsid w:val="007D51AF"/>
    <w:rsid w:val="007D66FE"/>
    <w:rsid w:val="007D73B2"/>
    <w:rsid w:val="007E07B7"/>
    <w:rsid w:val="007E098C"/>
    <w:rsid w:val="007E4A44"/>
    <w:rsid w:val="00802E7C"/>
    <w:rsid w:val="00802ECE"/>
    <w:rsid w:val="00802F66"/>
    <w:rsid w:val="00803C90"/>
    <w:rsid w:val="008049C7"/>
    <w:rsid w:val="008051D1"/>
    <w:rsid w:val="00807646"/>
    <w:rsid w:val="00811D70"/>
    <w:rsid w:val="00813949"/>
    <w:rsid w:val="00814CF8"/>
    <w:rsid w:val="008175AB"/>
    <w:rsid w:val="00821B2F"/>
    <w:rsid w:val="00821B7A"/>
    <w:rsid w:val="00821F13"/>
    <w:rsid w:val="00827D3C"/>
    <w:rsid w:val="00842584"/>
    <w:rsid w:val="0084703D"/>
    <w:rsid w:val="008501BC"/>
    <w:rsid w:val="0085216B"/>
    <w:rsid w:val="00853DD2"/>
    <w:rsid w:val="008551DC"/>
    <w:rsid w:val="008570C8"/>
    <w:rsid w:val="00874B28"/>
    <w:rsid w:val="0088017D"/>
    <w:rsid w:val="00881498"/>
    <w:rsid w:val="00883AA1"/>
    <w:rsid w:val="00885FDD"/>
    <w:rsid w:val="008873A7"/>
    <w:rsid w:val="00893C26"/>
    <w:rsid w:val="00895325"/>
    <w:rsid w:val="008A06E1"/>
    <w:rsid w:val="008A53FC"/>
    <w:rsid w:val="008A6040"/>
    <w:rsid w:val="008B156A"/>
    <w:rsid w:val="008B319B"/>
    <w:rsid w:val="008B3621"/>
    <w:rsid w:val="008B401E"/>
    <w:rsid w:val="008B58AA"/>
    <w:rsid w:val="008B5BC5"/>
    <w:rsid w:val="008C0523"/>
    <w:rsid w:val="008C7480"/>
    <w:rsid w:val="008D0247"/>
    <w:rsid w:val="008D02E3"/>
    <w:rsid w:val="008D566D"/>
    <w:rsid w:val="008D5DA7"/>
    <w:rsid w:val="008E0446"/>
    <w:rsid w:val="008E3998"/>
    <w:rsid w:val="008E4F9B"/>
    <w:rsid w:val="008E5C12"/>
    <w:rsid w:val="008F0BDF"/>
    <w:rsid w:val="008F1AC6"/>
    <w:rsid w:val="008F2A20"/>
    <w:rsid w:val="008F5CD1"/>
    <w:rsid w:val="00902F93"/>
    <w:rsid w:val="0090327A"/>
    <w:rsid w:val="009036D0"/>
    <w:rsid w:val="00912803"/>
    <w:rsid w:val="00915449"/>
    <w:rsid w:val="00917BED"/>
    <w:rsid w:val="0092029A"/>
    <w:rsid w:val="0092079A"/>
    <w:rsid w:val="009256D5"/>
    <w:rsid w:val="0093030A"/>
    <w:rsid w:val="0093175B"/>
    <w:rsid w:val="0093190A"/>
    <w:rsid w:val="00936BCD"/>
    <w:rsid w:val="0093767B"/>
    <w:rsid w:val="00940BAC"/>
    <w:rsid w:val="00946478"/>
    <w:rsid w:val="0094706F"/>
    <w:rsid w:val="00950658"/>
    <w:rsid w:val="009509EF"/>
    <w:rsid w:val="0095117F"/>
    <w:rsid w:val="00953BC6"/>
    <w:rsid w:val="00953C79"/>
    <w:rsid w:val="009541ED"/>
    <w:rsid w:val="00954EB6"/>
    <w:rsid w:val="009553D6"/>
    <w:rsid w:val="009579FF"/>
    <w:rsid w:val="00960EE5"/>
    <w:rsid w:val="00961F5F"/>
    <w:rsid w:val="00963020"/>
    <w:rsid w:val="00963415"/>
    <w:rsid w:val="00964C24"/>
    <w:rsid w:val="00964E06"/>
    <w:rsid w:val="00965931"/>
    <w:rsid w:val="009673DC"/>
    <w:rsid w:val="0097187C"/>
    <w:rsid w:val="00972295"/>
    <w:rsid w:val="009735F0"/>
    <w:rsid w:val="00975663"/>
    <w:rsid w:val="00984F7F"/>
    <w:rsid w:val="00986158"/>
    <w:rsid w:val="00996C03"/>
    <w:rsid w:val="00997362"/>
    <w:rsid w:val="009A1B21"/>
    <w:rsid w:val="009A3969"/>
    <w:rsid w:val="009A58A9"/>
    <w:rsid w:val="009A6048"/>
    <w:rsid w:val="009A65A9"/>
    <w:rsid w:val="009B2ACA"/>
    <w:rsid w:val="009B5517"/>
    <w:rsid w:val="009B6290"/>
    <w:rsid w:val="009C28F6"/>
    <w:rsid w:val="009C7E8F"/>
    <w:rsid w:val="009D0DC4"/>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4D05"/>
    <w:rsid w:val="00A30F72"/>
    <w:rsid w:val="00A40207"/>
    <w:rsid w:val="00A420D4"/>
    <w:rsid w:val="00A42F74"/>
    <w:rsid w:val="00A42FEF"/>
    <w:rsid w:val="00A46E54"/>
    <w:rsid w:val="00A507B5"/>
    <w:rsid w:val="00A55843"/>
    <w:rsid w:val="00A57FE8"/>
    <w:rsid w:val="00A60893"/>
    <w:rsid w:val="00A64538"/>
    <w:rsid w:val="00A72F1F"/>
    <w:rsid w:val="00A7338A"/>
    <w:rsid w:val="00A73998"/>
    <w:rsid w:val="00A76045"/>
    <w:rsid w:val="00A76325"/>
    <w:rsid w:val="00A77202"/>
    <w:rsid w:val="00A83364"/>
    <w:rsid w:val="00A840CF"/>
    <w:rsid w:val="00A84AE7"/>
    <w:rsid w:val="00A869F8"/>
    <w:rsid w:val="00A905ED"/>
    <w:rsid w:val="00A930FC"/>
    <w:rsid w:val="00A9317C"/>
    <w:rsid w:val="00A94D42"/>
    <w:rsid w:val="00A953FA"/>
    <w:rsid w:val="00AA3581"/>
    <w:rsid w:val="00AA6F8B"/>
    <w:rsid w:val="00AB0AC6"/>
    <w:rsid w:val="00AB350E"/>
    <w:rsid w:val="00AB3F13"/>
    <w:rsid w:val="00AB7025"/>
    <w:rsid w:val="00AB764F"/>
    <w:rsid w:val="00AC03FC"/>
    <w:rsid w:val="00AC7467"/>
    <w:rsid w:val="00AD0F20"/>
    <w:rsid w:val="00AD2FD7"/>
    <w:rsid w:val="00AD4AD2"/>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10DBD"/>
    <w:rsid w:val="00B14027"/>
    <w:rsid w:val="00B23C7C"/>
    <w:rsid w:val="00B2628B"/>
    <w:rsid w:val="00B27414"/>
    <w:rsid w:val="00B304BF"/>
    <w:rsid w:val="00B31382"/>
    <w:rsid w:val="00B34A84"/>
    <w:rsid w:val="00B3529E"/>
    <w:rsid w:val="00B37054"/>
    <w:rsid w:val="00B42572"/>
    <w:rsid w:val="00B4313E"/>
    <w:rsid w:val="00B44336"/>
    <w:rsid w:val="00B452AA"/>
    <w:rsid w:val="00B47792"/>
    <w:rsid w:val="00B47889"/>
    <w:rsid w:val="00B50362"/>
    <w:rsid w:val="00B51826"/>
    <w:rsid w:val="00B538FB"/>
    <w:rsid w:val="00B53C82"/>
    <w:rsid w:val="00B543F5"/>
    <w:rsid w:val="00B604C7"/>
    <w:rsid w:val="00B62F1D"/>
    <w:rsid w:val="00B657A6"/>
    <w:rsid w:val="00B77203"/>
    <w:rsid w:val="00B772E7"/>
    <w:rsid w:val="00B83B39"/>
    <w:rsid w:val="00B85B27"/>
    <w:rsid w:val="00B875FC"/>
    <w:rsid w:val="00B87E20"/>
    <w:rsid w:val="00B91B80"/>
    <w:rsid w:val="00B91F3D"/>
    <w:rsid w:val="00B91F7F"/>
    <w:rsid w:val="00B95546"/>
    <w:rsid w:val="00BA0BCB"/>
    <w:rsid w:val="00BA69E9"/>
    <w:rsid w:val="00BA6DC8"/>
    <w:rsid w:val="00BB1079"/>
    <w:rsid w:val="00BB11B3"/>
    <w:rsid w:val="00BB1E5A"/>
    <w:rsid w:val="00BB408C"/>
    <w:rsid w:val="00BB6E25"/>
    <w:rsid w:val="00BB6FCC"/>
    <w:rsid w:val="00BB7BAA"/>
    <w:rsid w:val="00BC12C4"/>
    <w:rsid w:val="00BC1CF6"/>
    <w:rsid w:val="00BC45F4"/>
    <w:rsid w:val="00BC4951"/>
    <w:rsid w:val="00BC7005"/>
    <w:rsid w:val="00BC7219"/>
    <w:rsid w:val="00BC75AE"/>
    <w:rsid w:val="00BC7A2F"/>
    <w:rsid w:val="00BD0EF9"/>
    <w:rsid w:val="00BD78EF"/>
    <w:rsid w:val="00BE1BD3"/>
    <w:rsid w:val="00BE2CB0"/>
    <w:rsid w:val="00BE7DBF"/>
    <w:rsid w:val="00BE7E17"/>
    <w:rsid w:val="00BF15B5"/>
    <w:rsid w:val="00BF21BD"/>
    <w:rsid w:val="00BF365A"/>
    <w:rsid w:val="00BF4A34"/>
    <w:rsid w:val="00BF66ED"/>
    <w:rsid w:val="00C01CBC"/>
    <w:rsid w:val="00C05F74"/>
    <w:rsid w:val="00C12FA1"/>
    <w:rsid w:val="00C1391E"/>
    <w:rsid w:val="00C1425D"/>
    <w:rsid w:val="00C1479D"/>
    <w:rsid w:val="00C163A8"/>
    <w:rsid w:val="00C200D7"/>
    <w:rsid w:val="00C21A56"/>
    <w:rsid w:val="00C23B35"/>
    <w:rsid w:val="00C2545C"/>
    <w:rsid w:val="00C2694F"/>
    <w:rsid w:val="00C27136"/>
    <w:rsid w:val="00C3439C"/>
    <w:rsid w:val="00C3748A"/>
    <w:rsid w:val="00C41A27"/>
    <w:rsid w:val="00C4240C"/>
    <w:rsid w:val="00C438A6"/>
    <w:rsid w:val="00C45040"/>
    <w:rsid w:val="00C4504D"/>
    <w:rsid w:val="00C45488"/>
    <w:rsid w:val="00C51E4A"/>
    <w:rsid w:val="00C53D29"/>
    <w:rsid w:val="00C54203"/>
    <w:rsid w:val="00C54679"/>
    <w:rsid w:val="00C547E3"/>
    <w:rsid w:val="00C553BA"/>
    <w:rsid w:val="00C60782"/>
    <w:rsid w:val="00C6207A"/>
    <w:rsid w:val="00C65672"/>
    <w:rsid w:val="00C65AAE"/>
    <w:rsid w:val="00C761ED"/>
    <w:rsid w:val="00C77657"/>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641C"/>
    <w:rsid w:val="00CD6FCB"/>
    <w:rsid w:val="00CE2BAE"/>
    <w:rsid w:val="00CE316B"/>
    <w:rsid w:val="00CE35C5"/>
    <w:rsid w:val="00CE5E07"/>
    <w:rsid w:val="00CE67FB"/>
    <w:rsid w:val="00CF4119"/>
    <w:rsid w:val="00CF6DCE"/>
    <w:rsid w:val="00CF774E"/>
    <w:rsid w:val="00D017FC"/>
    <w:rsid w:val="00D02613"/>
    <w:rsid w:val="00D040F2"/>
    <w:rsid w:val="00D04812"/>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591E"/>
    <w:rsid w:val="00D55B41"/>
    <w:rsid w:val="00D56D15"/>
    <w:rsid w:val="00D6023D"/>
    <w:rsid w:val="00D6054E"/>
    <w:rsid w:val="00D60AFE"/>
    <w:rsid w:val="00D626A5"/>
    <w:rsid w:val="00D642E5"/>
    <w:rsid w:val="00D70D0F"/>
    <w:rsid w:val="00D70DE3"/>
    <w:rsid w:val="00D71D66"/>
    <w:rsid w:val="00D74736"/>
    <w:rsid w:val="00D80A2C"/>
    <w:rsid w:val="00D82E38"/>
    <w:rsid w:val="00D83DBB"/>
    <w:rsid w:val="00D8479A"/>
    <w:rsid w:val="00D914FB"/>
    <w:rsid w:val="00D94A9F"/>
    <w:rsid w:val="00D964FF"/>
    <w:rsid w:val="00D97DB3"/>
    <w:rsid w:val="00DA7171"/>
    <w:rsid w:val="00DB0101"/>
    <w:rsid w:val="00DB3A66"/>
    <w:rsid w:val="00DB680D"/>
    <w:rsid w:val="00DB6846"/>
    <w:rsid w:val="00DC0EDC"/>
    <w:rsid w:val="00DC3D24"/>
    <w:rsid w:val="00DD0B9A"/>
    <w:rsid w:val="00DD61A4"/>
    <w:rsid w:val="00DE07C1"/>
    <w:rsid w:val="00DE24C9"/>
    <w:rsid w:val="00DE40CA"/>
    <w:rsid w:val="00DE4211"/>
    <w:rsid w:val="00DE4497"/>
    <w:rsid w:val="00DE6164"/>
    <w:rsid w:val="00DF4E65"/>
    <w:rsid w:val="00DF67DA"/>
    <w:rsid w:val="00E03E18"/>
    <w:rsid w:val="00E1168C"/>
    <w:rsid w:val="00E12ADC"/>
    <w:rsid w:val="00E1376F"/>
    <w:rsid w:val="00E13F09"/>
    <w:rsid w:val="00E23FAF"/>
    <w:rsid w:val="00E24214"/>
    <w:rsid w:val="00E375C8"/>
    <w:rsid w:val="00E37E4F"/>
    <w:rsid w:val="00E4653B"/>
    <w:rsid w:val="00E50C26"/>
    <w:rsid w:val="00E51822"/>
    <w:rsid w:val="00E522E5"/>
    <w:rsid w:val="00E54082"/>
    <w:rsid w:val="00E541E1"/>
    <w:rsid w:val="00E54359"/>
    <w:rsid w:val="00E54E90"/>
    <w:rsid w:val="00E612C7"/>
    <w:rsid w:val="00E616BA"/>
    <w:rsid w:val="00E64A5C"/>
    <w:rsid w:val="00E65ACB"/>
    <w:rsid w:val="00E70262"/>
    <w:rsid w:val="00E72758"/>
    <w:rsid w:val="00E7411A"/>
    <w:rsid w:val="00E7549E"/>
    <w:rsid w:val="00E7718C"/>
    <w:rsid w:val="00E77891"/>
    <w:rsid w:val="00E81D37"/>
    <w:rsid w:val="00E82142"/>
    <w:rsid w:val="00E87A48"/>
    <w:rsid w:val="00E904B8"/>
    <w:rsid w:val="00E9153E"/>
    <w:rsid w:val="00E91691"/>
    <w:rsid w:val="00E91AC0"/>
    <w:rsid w:val="00E925FE"/>
    <w:rsid w:val="00E93F98"/>
    <w:rsid w:val="00EA17D7"/>
    <w:rsid w:val="00EA7297"/>
    <w:rsid w:val="00EB157A"/>
    <w:rsid w:val="00EB29C0"/>
    <w:rsid w:val="00EB597D"/>
    <w:rsid w:val="00EC2BCA"/>
    <w:rsid w:val="00EC6259"/>
    <w:rsid w:val="00EC6616"/>
    <w:rsid w:val="00EC6801"/>
    <w:rsid w:val="00ED075E"/>
    <w:rsid w:val="00ED216E"/>
    <w:rsid w:val="00ED32E6"/>
    <w:rsid w:val="00ED4E7B"/>
    <w:rsid w:val="00ED6043"/>
    <w:rsid w:val="00ED6862"/>
    <w:rsid w:val="00ED6DF6"/>
    <w:rsid w:val="00ED6E82"/>
    <w:rsid w:val="00EE00B2"/>
    <w:rsid w:val="00EE2386"/>
    <w:rsid w:val="00EE509A"/>
    <w:rsid w:val="00EE51F1"/>
    <w:rsid w:val="00EF3AD6"/>
    <w:rsid w:val="00EF582C"/>
    <w:rsid w:val="00EF63E8"/>
    <w:rsid w:val="00F04B93"/>
    <w:rsid w:val="00F0623E"/>
    <w:rsid w:val="00F06D3A"/>
    <w:rsid w:val="00F07A7C"/>
    <w:rsid w:val="00F1058A"/>
    <w:rsid w:val="00F126FC"/>
    <w:rsid w:val="00F15F33"/>
    <w:rsid w:val="00F227C4"/>
    <w:rsid w:val="00F25062"/>
    <w:rsid w:val="00F257D3"/>
    <w:rsid w:val="00F25CB2"/>
    <w:rsid w:val="00F3142D"/>
    <w:rsid w:val="00F32440"/>
    <w:rsid w:val="00F329B1"/>
    <w:rsid w:val="00F33098"/>
    <w:rsid w:val="00F34A84"/>
    <w:rsid w:val="00F445BE"/>
    <w:rsid w:val="00F504C1"/>
    <w:rsid w:val="00F53931"/>
    <w:rsid w:val="00F569C5"/>
    <w:rsid w:val="00F576CD"/>
    <w:rsid w:val="00F61742"/>
    <w:rsid w:val="00F623AE"/>
    <w:rsid w:val="00F6255C"/>
    <w:rsid w:val="00F6300F"/>
    <w:rsid w:val="00F64F99"/>
    <w:rsid w:val="00F65E32"/>
    <w:rsid w:val="00F70864"/>
    <w:rsid w:val="00F717E5"/>
    <w:rsid w:val="00F74FA0"/>
    <w:rsid w:val="00F82A8F"/>
    <w:rsid w:val="00F866E1"/>
    <w:rsid w:val="00F90793"/>
    <w:rsid w:val="00F91295"/>
    <w:rsid w:val="00F92446"/>
    <w:rsid w:val="00F93839"/>
    <w:rsid w:val="00F96632"/>
    <w:rsid w:val="00F976B2"/>
    <w:rsid w:val="00F97D6E"/>
    <w:rsid w:val="00F97E6F"/>
    <w:rsid w:val="00FA5A40"/>
    <w:rsid w:val="00FA6B27"/>
    <w:rsid w:val="00FB0182"/>
    <w:rsid w:val="00FB0631"/>
    <w:rsid w:val="00FB2F0D"/>
    <w:rsid w:val="00FB499B"/>
    <w:rsid w:val="00FB6ABF"/>
    <w:rsid w:val="00FC09FD"/>
    <w:rsid w:val="00FC2302"/>
    <w:rsid w:val="00FC2319"/>
    <w:rsid w:val="00FC34C9"/>
    <w:rsid w:val="00FD09FB"/>
    <w:rsid w:val="00FD343E"/>
    <w:rsid w:val="00FD400F"/>
    <w:rsid w:val="00FE39AE"/>
    <w:rsid w:val="00FE3AE1"/>
    <w:rsid w:val="00FE422B"/>
    <w:rsid w:val="00FE5421"/>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7007376B-6846-4332-8ACE-B193575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5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character" w:customStyle="1" w:styleId="tlid-translation">
    <w:name w:val="tlid-translation"/>
    <w:basedOn w:val="Fuentedeprrafopredeter"/>
    <w:rsid w:val="00FD343E"/>
  </w:style>
  <w:style w:type="paragraph" w:styleId="HTMLconformatoprevio">
    <w:name w:val="HTML Preformatted"/>
    <w:basedOn w:val="Normal"/>
    <w:link w:val="HTMLconformatoprevioCar"/>
    <w:uiPriority w:val="99"/>
    <w:unhideWhenUsed/>
    <w:rsid w:val="00AB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B3F13"/>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B9C3-A553-476F-ABE3-2C0683E4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3437</Words>
  <Characters>18907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33</cp:revision>
  <cp:lastPrinted>2019-08-30T22:42:00Z</cp:lastPrinted>
  <dcterms:created xsi:type="dcterms:W3CDTF">2018-12-07T16:03:00Z</dcterms:created>
  <dcterms:modified xsi:type="dcterms:W3CDTF">2019-09-12T16:03:00Z</dcterms:modified>
</cp:coreProperties>
</file>